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F0" w:rsidRDefault="001A2C9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ведение регистра </w:t>
      </w:r>
    </w:p>
    <w:p w:rsidR="00E414F0" w:rsidRDefault="001A2C9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Республики Тыва</w:t>
      </w:r>
    </w:p>
    <w:p w:rsidR="00E414F0" w:rsidRDefault="001A2C9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полугодие 2025 года</w:t>
      </w: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 из приоритетных направлений деятельности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(далее - Министерство)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формирование условий, при которых должна быть обеспечена в полном объеме законность и доступность принимаемых муниципальных нормативных правовых актов.</w:t>
      </w: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этим, ведение регистра муниципальных нормативных правовых актов Республики Тыва (дал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- Регистр), их учет, обработка и систематизация способствуют обеспечению соответствия муниципальных нормативных правовых актов Конституции Российской Федерации, федеральному законодательству, Конституции Республики Тыва, законодательству Республики 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уставам муниципальных образований.</w:t>
      </w: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 30.06.202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в Регистре муниципальных актов республики всего содержится </w:t>
      </w:r>
      <w:r w:rsidRPr="00A33ED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3ED4">
        <w:rPr>
          <w:rFonts w:ascii="Times New Roman" w:hAnsi="Times New Roman" w:cs="Times New Roman"/>
          <w:sz w:val="28"/>
          <w:szCs w:val="28"/>
        </w:rPr>
        <w:t>037</w:t>
      </w:r>
      <w:r>
        <w:rPr>
          <w:rFonts w:ascii="Times New Roman" w:hAnsi="Times New Roman" w:cs="Times New Roman"/>
          <w:sz w:val="28"/>
          <w:szCs w:val="28"/>
        </w:rPr>
        <w:t xml:space="preserve"> 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759</w:t>
      </w:r>
      <w:r>
        <w:rPr>
          <w:rFonts w:ascii="Times New Roman" w:hAnsi="Times New Roman" w:cs="Times New Roman"/>
          <w:sz w:val="28"/>
          <w:szCs w:val="28"/>
        </w:rPr>
        <w:t>) нормативных актов, из них 1</w:t>
      </w:r>
      <w:r>
        <w:rPr>
          <w:rFonts w:ascii="Times New Roman" w:hAnsi="Times New Roman" w:cs="Times New Roman"/>
          <w:sz w:val="28"/>
          <w:szCs w:val="28"/>
          <w:lang w:val="tt-RU"/>
        </w:rPr>
        <w:t>2 290</w:t>
      </w:r>
      <w:r>
        <w:rPr>
          <w:rFonts w:ascii="Times New Roman" w:hAnsi="Times New Roman" w:cs="Times New Roman"/>
          <w:sz w:val="28"/>
          <w:szCs w:val="28"/>
        </w:rPr>
        <w:t xml:space="preserve">  действующих 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1 429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7645" cy="2804160"/>
            <wp:effectExtent l="4445" t="4445" r="2286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отчетный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период в Министерство для включения в </w:t>
      </w:r>
      <w:r>
        <w:rPr>
          <w:rFonts w:ascii="Times New Roman" w:hAnsi="Times New Roman" w:cs="Times New Roman"/>
          <w:bCs/>
          <w:sz w:val="28"/>
          <w:szCs w:val="28"/>
        </w:rPr>
        <w:t>Регистр поступило</w:t>
      </w:r>
      <w:r>
        <w:rPr>
          <w:rFonts w:ascii="Times New Roman" w:hAnsi="Times New Roman" w:cs="Times New Roman"/>
          <w:bCs/>
          <w:sz w:val="28"/>
          <w:szCs w:val="28"/>
          <w:shd w:val="clear" w:color="FFFFFF" w:fill="aut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FFFFFF" w:fill="auto"/>
        </w:rPr>
        <w:t xml:space="preserve">2209 </w:t>
      </w:r>
      <w:r>
        <w:rPr>
          <w:rFonts w:ascii="Times New Roman" w:hAnsi="Times New Roman" w:cs="Times New Roman"/>
          <w:bCs/>
          <w:sz w:val="28"/>
          <w:szCs w:val="28"/>
        </w:rPr>
        <w:t>(АП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Г – </w:t>
      </w:r>
      <w:r>
        <w:rPr>
          <w:rFonts w:ascii="Times New Roman" w:hAnsi="Times New Roman" w:cs="Times New Roman"/>
          <w:sz w:val="28"/>
          <w:szCs w:val="28"/>
        </w:rPr>
        <w:t>1550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 xml:space="preserve">возвращены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1559 актов (АППГ - </w:t>
      </w:r>
      <w:r>
        <w:rPr>
          <w:rFonts w:ascii="Times New Roman" w:hAnsi="Times New Roman" w:cs="Times New Roman"/>
          <w:bCs/>
          <w:sz w:val="28"/>
          <w:szCs w:val="28"/>
        </w:rPr>
        <w:t>836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>
        <w:rPr>
          <w:rFonts w:ascii="Times New Roman" w:hAnsi="Times New Roman"/>
          <w:sz w:val="28"/>
          <w:szCs w:val="28"/>
        </w:rPr>
        <w:t>ненормативностью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и несоответствием требованиям приказа Министерства от 10.06.2019 № 51 «Об организации работы по ведению регистра </w:t>
      </w:r>
      <w:r>
        <w:rPr>
          <w:rFonts w:ascii="Times New Roman" w:hAnsi="Times New Roman"/>
          <w:sz w:val="28"/>
          <w:szCs w:val="28"/>
        </w:rPr>
        <w:t>муниципальных нормативных правовых актов Республики Тыва» (отсутствие основного акта в регистре, отсутствие необходимых реквизитов, отсутствие электронных форматов и пр.).</w:t>
      </w:r>
      <w:proofErr w:type="gramEnd"/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0630" cy="2747010"/>
            <wp:effectExtent l="4445" t="4445" r="2222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108460"/>
      <w:r>
        <w:rPr>
          <w:rFonts w:ascii="Times New Roman" w:hAnsi="Times New Roman" w:cs="Times New Roman"/>
          <w:sz w:val="28"/>
          <w:szCs w:val="28"/>
        </w:rPr>
        <w:t>Увеличение количества поступивших муниципальных актов за сравниваемые периоды</w:t>
      </w:r>
      <w:r>
        <w:rPr>
          <w:rFonts w:ascii="Times New Roman" w:hAnsi="Times New Roman" w:cs="Times New Roman"/>
          <w:sz w:val="28"/>
          <w:szCs w:val="28"/>
        </w:rPr>
        <w:t xml:space="preserve">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4F0" w:rsidRDefault="001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от</w:t>
      </w:r>
      <w:r>
        <w:rPr>
          <w:rFonts w:ascii="Times New Roman" w:hAnsi="Times New Roman" w:cs="Times New Roman"/>
          <w:sz w:val="28"/>
          <w:szCs w:val="28"/>
        </w:rPr>
        <w:t xml:space="preserve"> 26.12.2012 № 1694 ВХ-1 «О регистре муниципальных нормативных правовых актов Республики Тыва» предусмотрено проведение юридической экспертизы муниципальных нормативных правовых актов, являющееся одной из стадий ведения Регистра. </w:t>
      </w:r>
    </w:p>
    <w:p w:rsidR="00E414F0" w:rsidRDefault="001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правовую экспе</w:t>
      </w:r>
      <w:r>
        <w:rPr>
          <w:rFonts w:ascii="Times New Roman" w:hAnsi="Times New Roman" w:cs="Times New Roman"/>
          <w:sz w:val="28"/>
          <w:szCs w:val="28"/>
        </w:rPr>
        <w:t xml:space="preserve">ртизу муниципальных актов в зависимости от предмета регулирования осуществляют, в том числе, и другие органы исполнительной власти Республики Тыва. 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108472"/>
      <w:r>
        <w:rPr>
          <w:rFonts w:ascii="Times New Roman" w:hAnsi="Times New Roman" w:cs="Times New Roman"/>
          <w:sz w:val="28"/>
          <w:szCs w:val="28"/>
        </w:rPr>
        <w:t xml:space="preserve">За отчетный период Министерством проведена юридическая экспертиза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463 </w:t>
      </w:r>
      <w:r>
        <w:rPr>
          <w:rFonts w:ascii="Times New Roman" w:hAnsi="Times New Roman" w:cs="Times New Roman"/>
          <w:sz w:val="28"/>
          <w:szCs w:val="28"/>
        </w:rPr>
        <w:t>(АППГ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684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проведения Министерством юридической экспертизы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40 </w:t>
      </w:r>
      <w:r>
        <w:rPr>
          <w:rFonts w:ascii="Times New Roman" w:hAnsi="Times New Roman" w:cs="Times New Roman"/>
          <w:bCs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bCs/>
          <w:sz w:val="28"/>
          <w:szCs w:val="28"/>
        </w:rPr>
        <w:t>66</w:t>
      </w:r>
      <w:r>
        <w:rPr>
          <w:rFonts w:ascii="Times New Roman" w:hAnsi="Times New Roman" w:cs="Times New Roman"/>
          <w:bCs/>
          <w:sz w:val="28"/>
          <w:szCs w:val="28"/>
        </w:rPr>
        <w:t>)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актов выявлено несоответствие действующему законодательству или уставу муниципального образования.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2530" cy="2767330"/>
            <wp:effectExtent l="4445" t="4445" r="222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2"/>
    <w:p w:rsidR="00E414F0" w:rsidRDefault="001A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экспертных заключений, органами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часто допускаются нарушения в регулировании вопросов прохождения муниципальной службы, несоблюдения компетенций, разработки административных регламентов предоставления муниципальных услуг.</w:t>
      </w: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08486"/>
      <w:r>
        <w:rPr>
          <w:rFonts w:ascii="Times New Roman" w:hAnsi="Times New Roman" w:cs="Times New Roman"/>
          <w:sz w:val="28"/>
          <w:szCs w:val="28"/>
        </w:rPr>
        <w:t>По данным Регистра на 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действующих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актов со статусом </w:t>
      </w:r>
      <w:r>
        <w:rPr>
          <w:rFonts w:ascii="Times New Roman" w:hAnsi="Times New Roman" w:cs="Times New Roman"/>
          <w:b/>
          <w:i/>
          <w:sz w:val="28"/>
          <w:szCs w:val="28"/>
        </w:rPr>
        <w:t>«Выявлено несоответствие федеральному закону», «Выявлено несоответствие законодательству субъекта», «Выявлено несоответствие уставу муниципального о</w:t>
      </w:r>
      <w:r>
        <w:rPr>
          <w:rFonts w:ascii="Times New Roman" w:hAnsi="Times New Roman" w:cs="Times New Roman"/>
          <w:b/>
          <w:i/>
          <w:sz w:val="28"/>
          <w:szCs w:val="28"/>
        </w:rPr>
        <w:t>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числа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актов, зарегистрированных с 2009 по </w:t>
      </w:r>
      <w:r>
        <w:rPr>
          <w:rFonts w:ascii="Times New Roman" w:hAnsi="Times New Roman" w:cs="Times New Roman"/>
          <w:bCs/>
          <w:sz w:val="28"/>
          <w:szCs w:val="28"/>
        </w:rPr>
        <w:t>1 полугодие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506 </w:t>
      </w:r>
      <w:r>
        <w:rPr>
          <w:rFonts w:ascii="Times New Roman" w:hAnsi="Times New Roman" w:cs="Times New Roman"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sz w:val="28"/>
          <w:szCs w:val="28"/>
        </w:rPr>
        <w:t>753)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 с 01.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40 </w:t>
      </w:r>
      <w:r>
        <w:rPr>
          <w:rFonts w:ascii="Times New Roman" w:hAnsi="Times New Roman" w:cs="Times New Roman"/>
          <w:bCs/>
          <w:sz w:val="28"/>
          <w:szCs w:val="28"/>
        </w:rPr>
        <w:t xml:space="preserve">(АППГ – </w:t>
      </w:r>
      <w:r>
        <w:rPr>
          <w:rFonts w:ascii="Times New Roman" w:hAnsi="Times New Roman" w:cs="Times New Roman"/>
          <w:bCs/>
          <w:sz w:val="28"/>
          <w:szCs w:val="28"/>
        </w:rPr>
        <w:t>66)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4F0" w:rsidRDefault="001A2C95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2530" cy="2767330"/>
            <wp:effectExtent l="4445" t="4445" r="222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14F0" w:rsidRDefault="00E414F0">
      <w:pPr>
        <w:tabs>
          <w:tab w:val="left" w:pos="567"/>
          <w:tab w:val="left" w:pos="34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4F0" w:rsidRDefault="001A2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31.12.2023 количество муниципальных актов, имеющих статус действия «действующий» и статус соответствия законодательству «выявлено несоответствие законодательству» снизилось на   </w:t>
      </w:r>
      <w:r>
        <w:rPr>
          <w:rFonts w:ascii="Times New Roman" w:hAnsi="Times New Roman" w:cs="Times New Roman"/>
          <w:b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4F0" w:rsidRDefault="001A2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Министерством ежеквартально направляю</w:t>
      </w:r>
      <w:r>
        <w:rPr>
          <w:rFonts w:ascii="Times New Roman" w:hAnsi="Times New Roman" w:cs="Times New Roman"/>
          <w:sz w:val="28"/>
          <w:szCs w:val="28"/>
        </w:rPr>
        <w:t>тся обращения в органы местного самоуправления 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</w:t>
      </w:r>
      <w:r>
        <w:rPr>
          <w:rFonts w:ascii="Times New Roman" w:hAnsi="Times New Roman" w:cs="Times New Roman"/>
          <w:sz w:val="28"/>
          <w:szCs w:val="28"/>
        </w:rPr>
        <w:t>ниципальных нормативных актов, не соответствующих федеральному законодательству, согласно отрицательным экспертным заключениям с 2009 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ведения Регистра возникают также затруднения в соблюдении установленных сроков проведения </w:t>
      </w:r>
      <w:r>
        <w:rPr>
          <w:rFonts w:ascii="Times New Roman" w:hAnsi="Times New Roman" w:cs="Times New Roman"/>
          <w:sz w:val="28"/>
          <w:szCs w:val="28"/>
        </w:rPr>
        <w:t>юридической экспертизы муниципальных актов, в том числе органами исполнительной власти Республики Тыва, направлении отрицательных экспертных заключений в органы местного самоуправления для оперативного устранения выявленных нарушений законодательства.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 xml:space="preserve">лях устранения возникающих проблемных вопросов в текущем году предлагается организовать усиленный контроль за направленными в органы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муниципальными актами путем использования СЭД «Практика» с ежемесячной сверкой направленных актов и п</w:t>
      </w:r>
      <w:r>
        <w:rPr>
          <w:rFonts w:ascii="Times New Roman" w:hAnsi="Times New Roman" w:cs="Times New Roman"/>
          <w:sz w:val="28"/>
          <w:szCs w:val="28"/>
        </w:rPr>
        <w:t>оступивших на них экспертных заключений.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также отметить следующие проблемные вопросы, касающиеся ведения Регистра муниципальных актов республики:</w:t>
      </w:r>
    </w:p>
    <w:p w:rsidR="00E414F0" w:rsidRDefault="001A2C9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Нарушения, выявленные при представлении муниципальных нормативных правовых актов и дополнительных свед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ений к ним для включения в Регистр муниципальных нормативных правовых актов.</w:t>
      </w:r>
    </w:p>
    <w:p w:rsidR="00E414F0" w:rsidRDefault="001A2C9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4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Тыва от 26.12.2012 № 1694 ВХ-1 «О регистре муниципальных нормативных правовых актов Республики Тыва»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ключению в Регистр подлежат действу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ющие муниципальные нормативные правовые акты.</w:t>
      </w:r>
    </w:p>
    <w:p w:rsidR="00E414F0" w:rsidRDefault="001A2C9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Однако в нарушение указанного требования законодательства, органами местного самоуправления для включения в Регистр представляются муниципальные акты, не носящие нормативный характер, в частности, такие как:</w:t>
      </w:r>
    </w:p>
    <w:p w:rsidR="00E414F0" w:rsidRDefault="001A2C9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утверждении отчета по исполнению местного бюджета;</w:t>
      </w:r>
    </w:p>
    <w:p w:rsidR="00E414F0" w:rsidRDefault="001A2C9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создании различных рабочих групп;</w:t>
      </w:r>
    </w:p>
    <w:p w:rsidR="00E414F0" w:rsidRDefault="001A2C9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адресов объектам недвижимости, земельным участкам;</w:t>
      </w:r>
    </w:p>
    <w:p w:rsidR="00E414F0" w:rsidRDefault="001A2C9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об отчетах рабочих групп, комиссий, должностных лиц и т.п.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Министерство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ошибочно представляются для включения в Регистр </w:t>
      </w:r>
      <w:r>
        <w:rPr>
          <w:rFonts w:ascii="Times New Roman" w:hAnsi="Times New Roman" w:cs="Times New Roman"/>
          <w:color w:val="000000"/>
          <w:sz w:val="28"/>
          <w:szCs w:val="28"/>
        </w:rPr>
        <w:t>акты о принятии Устава муниципального образования и о внесении изменений в Устав, подлежащие направлению в Управление Министерства юстиции РФ по РТ.</w:t>
      </w:r>
    </w:p>
    <w:p w:rsidR="00E414F0" w:rsidRDefault="001A2C95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сроков представления актов для включе</w:t>
      </w:r>
      <w:r>
        <w:rPr>
          <w:rFonts w:ascii="Times New Roman" w:hAnsi="Times New Roman" w:cs="Times New Roman"/>
          <w:sz w:val="28"/>
          <w:szCs w:val="28"/>
        </w:rPr>
        <w:t>ния в Регистр, установленных федеральным и республиканским законодательством.</w:t>
      </w:r>
    </w:p>
    <w:p w:rsidR="00E414F0" w:rsidRDefault="001A2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10.09.2008 № 657 «О ведении федерального регистра муниципальных нормативных правовых актов» актуализация рег</w:t>
      </w:r>
      <w:r>
        <w:rPr>
          <w:rFonts w:ascii="Times New Roman" w:hAnsi="Times New Roman" w:cs="Times New Roman"/>
          <w:sz w:val="28"/>
          <w:szCs w:val="28"/>
        </w:rPr>
        <w:t>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ов).</w:t>
      </w:r>
      <w:proofErr w:type="gramEnd"/>
    </w:p>
    <w:p w:rsidR="00E414F0" w:rsidRDefault="001A2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«О регистре муниципальных нормативных правовых актов Республики Тыва» установлено, что муниципальный акт должен быть представлен не позднее 15 календарных дней со дня его принятия (издания).</w:t>
      </w:r>
    </w:p>
    <w:p w:rsidR="00E414F0" w:rsidRDefault="001A2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Затрудняет работу по обеспечению акт</w:t>
      </w:r>
      <w:r>
        <w:rPr>
          <w:rFonts w:ascii="Times New Roman" w:hAnsi="Times New Roman" w:cs="Times New Roman"/>
          <w:sz w:val="28"/>
          <w:szCs w:val="28"/>
        </w:rPr>
        <w:t xml:space="preserve">уальности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сведений об опубликовании (обнародовании) нормативных правовых актов.</w:t>
      </w:r>
    </w:p>
    <w:p w:rsidR="00E414F0" w:rsidRDefault="001A2C9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количество муниципальных актов, содержащихся в Регистре, не соответствующих законодательству.</w:t>
      </w:r>
    </w:p>
    <w:p w:rsidR="00E414F0" w:rsidRDefault="001A2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соответствия муниципальных нормативных правовых актов федеральному законодательству, законодательству Республики Тыва, повышения уровня качества и эффективности муниципального правового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регулирования органам местного самоуправления муниципальны</w:t>
      </w:r>
      <w:r>
        <w:rPr>
          <w:rFonts w:ascii="Times New Roman" w:hAnsi="Times New Roman" w:cs="Times New Roman"/>
          <w:sz w:val="28"/>
          <w:szCs w:val="28"/>
        </w:rPr>
        <w:t>х образований Республики Тыва рекомендуется:</w:t>
      </w:r>
    </w:p>
    <w:p w:rsidR="00E414F0" w:rsidRDefault="001A2C95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статьи 5 Закона Республики Тыва от 26.12.2012 № 1694 ВХ-1 «О регистре муниципальных нормативных правовых актов Республики Тыва» обеспечить достоверное и своевременное представление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подлежащих включению в Регистр муниципальных нормативных правовых актов Республики Тыва;</w:t>
      </w:r>
    </w:p>
    <w:p w:rsidR="00E414F0" w:rsidRDefault="001A2C95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приведению в соответствие с действующим законодательством муниципальных нормативных правовых актов, в отношении которых получена информация о нал</w:t>
      </w:r>
      <w:r>
        <w:rPr>
          <w:rFonts w:ascii="Times New Roman" w:hAnsi="Times New Roman" w:cs="Times New Roman"/>
          <w:sz w:val="28"/>
          <w:szCs w:val="28"/>
        </w:rPr>
        <w:t>ичии в них норм, не соответствующих действующему законодательству (по актам прокурорского реагирования, экспертным заключениям Министерства и иных органов исполнительной власти Республики Тыва).</w:t>
      </w:r>
    </w:p>
    <w:p w:rsidR="00E414F0" w:rsidRDefault="00E414F0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14F0" w:rsidRDefault="00E414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4F0" w:rsidRDefault="00E414F0">
      <w:pPr>
        <w:spacing w:line="240" w:lineRule="auto"/>
      </w:pPr>
    </w:p>
    <w:sectPr w:rsidR="00E414F0">
      <w:footerReference w:type="default" r:id="rId12"/>
      <w:pgSz w:w="11900" w:h="16840"/>
      <w:pgMar w:top="1134" w:right="567" w:bottom="1134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95" w:rsidRDefault="001A2C95">
      <w:pPr>
        <w:spacing w:line="240" w:lineRule="auto"/>
      </w:pPr>
      <w:r>
        <w:separator/>
      </w:r>
    </w:p>
  </w:endnote>
  <w:endnote w:type="continuationSeparator" w:id="0">
    <w:p w:rsidR="001A2C95" w:rsidRDefault="001A2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81591514"/>
    </w:sdtPr>
    <w:sdtEndPr/>
    <w:sdtContent>
      <w:p w:rsidR="00E414F0" w:rsidRDefault="001A2C9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ED4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14F0" w:rsidRDefault="00E414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95" w:rsidRDefault="001A2C95">
      <w:pPr>
        <w:spacing w:after="0"/>
      </w:pPr>
      <w:r>
        <w:separator/>
      </w:r>
    </w:p>
  </w:footnote>
  <w:footnote w:type="continuationSeparator" w:id="0">
    <w:p w:rsidR="001A2C95" w:rsidRDefault="001A2C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4895"/>
    <w:multiLevelType w:val="multilevel"/>
    <w:tmpl w:val="254A4895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61110E"/>
    <w:multiLevelType w:val="multilevel"/>
    <w:tmpl w:val="3861110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0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2">
    <w:nsid w:val="75F17DB6"/>
    <w:multiLevelType w:val="multilevel"/>
    <w:tmpl w:val="75F17DB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19"/>
    <w:rsid w:val="000031F8"/>
    <w:rsid w:val="00003E7A"/>
    <w:rsid w:val="00006ABD"/>
    <w:rsid w:val="00021A6E"/>
    <w:rsid w:val="00034BE1"/>
    <w:rsid w:val="00037086"/>
    <w:rsid w:val="00051D74"/>
    <w:rsid w:val="00061A2F"/>
    <w:rsid w:val="0008212A"/>
    <w:rsid w:val="00090CE8"/>
    <w:rsid w:val="000B57F6"/>
    <w:rsid w:val="000E51B1"/>
    <w:rsid w:val="000F2272"/>
    <w:rsid w:val="00116921"/>
    <w:rsid w:val="00122180"/>
    <w:rsid w:val="001401B3"/>
    <w:rsid w:val="001470A7"/>
    <w:rsid w:val="001557C1"/>
    <w:rsid w:val="00170B0F"/>
    <w:rsid w:val="001749E8"/>
    <w:rsid w:val="00185A27"/>
    <w:rsid w:val="001903B4"/>
    <w:rsid w:val="00191DB2"/>
    <w:rsid w:val="00196535"/>
    <w:rsid w:val="001A2C95"/>
    <w:rsid w:val="001A3149"/>
    <w:rsid w:val="001A5061"/>
    <w:rsid w:val="001B06A9"/>
    <w:rsid w:val="001B4D2E"/>
    <w:rsid w:val="001E0357"/>
    <w:rsid w:val="001F108C"/>
    <w:rsid w:val="00243A87"/>
    <w:rsid w:val="0024493A"/>
    <w:rsid w:val="00252CC0"/>
    <w:rsid w:val="0029679E"/>
    <w:rsid w:val="002D5163"/>
    <w:rsid w:val="002E2702"/>
    <w:rsid w:val="002E2FC0"/>
    <w:rsid w:val="002F6AC6"/>
    <w:rsid w:val="00301315"/>
    <w:rsid w:val="00312837"/>
    <w:rsid w:val="003279C4"/>
    <w:rsid w:val="00341519"/>
    <w:rsid w:val="00342F9B"/>
    <w:rsid w:val="003871F1"/>
    <w:rsid w:val="003B7F39"/>
    <w:rsid w:val="003C74D4"/>
    <w:rsid w:val="003D4DC5"/>
    <w:rsid w:val="003F252E"/>
    <w:rsid w:val="00471320"/>
    <w:rsid w:val="004A3A1A"/>
    <w:rsid w:val="004B5F11"/>
    <w:rsid w:val="004E3134"/>
    <w:rsid w:val="00512DF8"/>
    <w:rsid w:val="005148AA"/>
    <w:rsid w:val="00530847"/>
    <w:rsid w:val="005508FD"/>
    <w:rsid w:val="005617FE"/>
    <w:rsid w:val="00595772"/>
    <w:rsid w:val="005F6E96"/>
    <w:rsid w:val="00606733"/>
    <w:rsid w:val="00611571"/>
    <w:rsid w:val="006150C9"/>
    <w:rsid w:val="00631FD2"/>
    <w:rsid w:val="0064370D"/>
    <w:rsid w:val="00672354"/>
    <w:rsid w:val="00672C28"/>
    <w:rsid w:val="00684570"/>
    <w:rsid w:val="0068508A"/>
    <w:rsid w:val="00687898"/>
    <w:rsid w:val="0069464A"/>
    <w:rsid w:val="006A365D"/>
    <w:rsid w:val="006D4D29"/>
    <w:rsid w:val="00735D05"/>
    <w:rsid w:val="00737C9F"/>
    <w:rsid w:val="00755057"/>
    <w:rsid w:val="00761CA4"/>
    <w:rsid w:val="0079773E"/>
    <w:rsid w:val="007A7174"/>
    <w:rsid w:val="007E6311"/>
    <w:rsid w:val="007F1ADF"/>
    <w:rsid w:val="008411B6"/>
    <w:rsid w:val="00846797"/>
    <w:rsid w:val="008509C9"/>
    <w:rsid w:val="00855AB5"/>
    <w:rsid w:val="00872856"/>
    <w:rsid w:val="00884E2A"/>
    <w:rsid w:val="00885F95"/>
    <w:rsid w:val="008E4A5F"/>
    <w:rsid w:val="009008FB"/>
    <w:rsid w:val="00910336"/>
    <w:rsid w:val="0091235B"/>
    <w:rsid w:val="0091508D"/>
    <w:rsid w:val="00926648"/>
    <w:rsid w:val="00930B36"/>
    <w:rsid w:val="00946360"/>
    <w:rsid w:val="00961DA5"/>
    <w:rsid w:val="0097184E"/>
    <w:rsid w:val="00972615"/>
    <w:rsid w:val="009A07E8"/>
    <w:rsid w:val="009C30C6"/>
    <w:rsid w:val="009D160A"/>
    <w:rsid w:val="009E20E5"/>
    <w:rsid w:val="00A11E35"/>
    <w:rsid w:val="00A14D90"/>
    <w:rsid w:val="00A1551A"/>
    <w:rsid w:val="00A339C5"/>
    <w:rsid w:val="00A33ED4"/>
    <w:rsid w:val="00A407F2"/>
    <w:rsid w:val="00A44735"/>
    <w:rsid w:val="00A53BBF"/>
    <w:rsid w:val="00A761D9"/>
    <w:rsid w:val="00A80020"/>
    <w:rsid w:val="00A82137"/>
    <w:rsid w:val="00A831C2"/>
    <w:rsid w:val="00A93E55"/>
    <w:rsid w:val="00AA7AF8"/>
    <w:rsid w:val="00AB2583"/>
    <w:rsid w:val="00AD58DF"/>
    <w:rsid w:val="00B03909"/>
    <w:rsid w:val="00B5333E"/>
    <w:rsid w:val="00B9260B"/>
    <w:rsid w:val="00B92DD7"/>
    <w:rsid w:val="00B96B17"/>
    <w:rsid w:val="00B975AB"/>
    <w:rsid w:val="00BA2D8D"/>
    <w:rsid w:val="00BB7BB5"/>
    <w:rsid w:val="00BD2B34"/>
    <w:rsid w:val="00BD3561"/>
    <w:rsid w:val="00C17571"/>
    <w:rsid w:val="00C7159D"/>
    <w:rsid w:val="00C736D6"/>
    <w:rsid w:val="00C8316B"/>
    <w:rsid w:val="00CA4387"/>
    <w:rsid w:val="00CA4F6F"/>
    <w:rsid w:val="00CB56FE"/>
    <w:rsid w:val="00D04143"/>
    <w:rsid w:val="00D10554"/>
    <w:rsid w:val="00D1407E"/>
    <w:rsid w:val="00D16CA0"/>
    <w:rsid w:val="00D17A60"/>
    <w:rsid w:val="00D23003"/>
    <w:rsid w:val="00D434A5"/>
    <w:rsid w:val="00D62CA4"/>
    <w:rsid w:val="00D67D50"/>
    <w:rsid w:val="00D81955"/>
    <w:rsid w:val="00D83582"/>
    <w:rsid w:val="00DA64EF"/>
    <w:rsid w:val="00DB05FB"/>
    <w:rsid w:val="00E06BD0"/>
    <w:rsid w:val="00E14DF7"/>
    <w:rsid w:val="00E25202"/>
    <w:rsid w:val="00E33B62"/>
    <w:rsid w:val="00E37995"/>
    <w:rsid w:val="00E414F0"/>
    <w:rsid w:val="00E43341"/>
    <w:rsid w:val="00E44138"/>
    <w:rsid w:val="00E7353D"/>
    <w:rsid w:val="00E92747"/>
    <w:rsid w:val="00E97A94"/>
    <w:rsid w:val="00EA12B4"/>
    <w:rsid w:val="00EB2824"/>
    <w:rsid w:val="00EC3D9E"/>
    <w:rsid w:val="00EC5CA6"/>
    <w:rsid w:val="00EC63E7"/>
    <w:rsid w:val="00EC7543"/>
    <w:rsid w:val="00EF03C2"/>
    <w:rsid w:val="00EF6C8A"/>
    <w:rsid w:val="00EF7CD0"/>
    <w:rsid w:val="00F011D5"/>
    <w:rsid w:val="00F21805"/>
    <w:rsid w:val="00F34263"/>
    <w:rsid w:val="00F52999"/>
    <w:rsid w:val="00F532F8"/>
    <w:rsid w:val="00F86BF4"/>
    <w:rsid w:val="00F96377"/>
    <w:rsid w:val="00FA7983"/>
    <w:rsid w:val="00FB7962"/>
    <w:rsid w:val="00FC14A2"/>
    <w:rsid w:val="00FC78D0"/>
    <w:rsid w:val="00FD2C4A"/>
    <w:rsid w:val="00FD7FCB"/>
    <w:rsid w:val="00FE708D"/>
    <w:rsid w:val="00FF2470"/>
    <w:rsid w:val="07884A45"/>
    <w:rsid w:val="17A12F0F"/>
    <w:rsid w:val="1811282A"/>
    <w:rsid w:val="35AE687A"/>
    <w:rsid w:val="3A7E69E6"/>
    <w:rsid w:val="3AE80203"/>
    <w:rsid w:val="53531310"/>
    <w:rsid w:val="6A710F6F"/>
    <w:rsid w:val="7E4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содержащихся в Регистре МНПА, в том числе действующих</a:t>
            </a:r>
          </a:p>
        </c:rich>
      </c:tx>
      <c:layout>
        <c:manualLayout>
          <c:xMode val="edge"/>
          <c:yMode val="edge"/>
          <c:x val="0.13465789805839401"/>
          <c:y val="2.798727817604889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содержащихся в регистре МНПА 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14759</c:v>
                </c:pt>
                <c:pt idx="1">
                  <c:v>16037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действующих МНПА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11429</c:v>
                </c:pt>
                <c:pt idx="1">
                  <c:v>12290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12192"/>
        <c:axId val="188340992"/>
      </c:barChart>
      <c:catAx>
        <c:axId val="13511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88340992"/>
        <c:crosses val="autoZero"/>
        <c:auto val="1"/>
        <c:lblAlgn val="ctr"/>
        <c:lblOffset val="100"/>
        <c:noMultiLvlLbl val="0"/>
      </c:catAx>
      <c:valAx>
        <c:axId val="188340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1219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поступивших актов и количество возврщенных ОМСУ актов</a:t>
            </a:r>
          </a:p>
        </c:rich>
      </c:tx>
      <c:layout>
        <c:manualLayout>
          <c:xMode val="edge"/>
          <c:yMode val="edge"/>
          <c:x val="0.13465789805839401"/>
          <c:y val="2.798727817604889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актов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1550</c:v>
                </c:pt>
                <c:pt idx="1">
                  <c:v>2209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возвращенных ОМСУ актов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836</c:v>
                </c:pt>
                <c:pt idx="1">
                  <c:v>1550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98240"/>
        <c:axId val="206094912"/>
      </c:barChart>
      <c:catAx>
        <c:axId val="16749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4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206094912"/>
        <c:crosses val="autoZero"/>
        <c:auto val="1"/>
        <c:lblAlgn val="ctr"/>
        <c:lblOffset val="100"/>
        <c:noMultiLvlLbl val="0"/>
      </c:catAx>
      <c:valAx>
        <c:axId val="206094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9824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 sz="14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проведенных Министерством ЮЭ и количество отрицательных заключений</a:t>
            </a:r>
          </a:p>
        </c:rich>
      </c:tx>
      <c:layout>
        <c:manualLayout>
          <c:xMode val="edge"/>
          <c:yMode val="edge"/>
          <c:x val="0.184162848553444"/>
          <c:y val="1.76614406358929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ЮЭ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684</c:v>
                </c:pt>
                <c:pt idx="1">
                  <c:v>463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отрицательных заключений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12704"/>
        <c:axId val="206096640"/>
      </c:barChart>
      <c:catAx>
        <c:axId val="13511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206096640"/>
        <c:crosses val="autoZero"/>
        <c:auto val="1"/>
        <c:lblAlgn val="ctr"/>
        <c:lblOffset val="100"/>
        <c:noMultiLvlLbl val="0"/>
      </c:catAx>
      <c:valAx>
        <c:axId val="20609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12704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68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80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несоответствующих законодательству актов</a:t>
            </a:r>
          </a:p>
        </c:rich>
      </c:tx>
      <c:layout>
        <c:manualLayout>
          <c:xMode val="edge"/>
          <c:yMode val="edge"/>
          <c:x val="0.184162848553444"/>
          <c:y val="1.76614406358929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период с 2009 г.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753</c:v>
                </c:pt>
                <c:pt idx="1">
                  <c:v>506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отчетный период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полугодие 2024</c:v>
                </c:pt>
                <c:pt idx="1">
                  <c:v>1 полугодие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97728"/>
        <c:axId val="206098944"/>
      </c:barChart>
      <c:catAx>
        <c:axId val="16749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206098944"/>
        <c:crosses val="autoZero"/>
        <c:auto val="1"/>
        <c:lblAlgn val="ctr"/>
        <c:lblOffset val="100"/>
        <c:noMultiLvlLbl val="0"/>
      </c:catAx>
      <c:valAx>
        <c:axId val="20609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49772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64d1f8-9be5-41c1-b9e0-f7cfec552120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SakakAA</dc:creator>
  <cp:lastModifiedBy>Куулар Эртине-Мерген Мергенович</cp:lastModifiedBy>
  <cp:revision>2</cp:revision>
  <cp:lastPrinted>2025-02-06T02:41:00Z</cp:lastPrinted>
  <dcterms:created xsi:type="dcterms:W3CDTF">2025-12-05T03:29:00Z</dcterms:created>
  <dcterms:modified xsi:type="dcterms:W3CDTF">2025-12-05T03:29:00Z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58A988FFDE80422FA51B334C2D6AB475_12</vt:lpwstr>
  </property>
</Properties>
</file>