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E6" w:rsidRDefault="001B7892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ведение регистра </w:t>
      </w:r>
    </w:p>
    <w:p w:rsidR="00B36AE6" w:rsidRDefault="001B7892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Республики Тыва</w:t>
      </w:r>
    </w:p>
    <w:p w:rsidR="00B36AE6" w:rsidRDefault="001B7892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квартал 2025 года </w:t>
      </w:r>
    </w:p>
    <w:p w:rsidR="00B36AE6" w:rsidRDefault="00B36AE6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AE6" w:rsidRDefault="001B7892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из приоритетных направлений деятельности Министерства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Тыва (далее - Министерство)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формирование условий,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должна быть обеспечена в полном объеме законность и доступность принимаемых муниципальных нормативных правовых актов.</w:t>
      </w:r>
    </w:p>
    <w:p w:rsidR="00B36AE6" w:rsidRDefault="001B7892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этим, ведение регистра муниципальных нормативных правовых актов Республики Тыва (далее - Регистр), их учет, обработка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систематизация способствуют обеспечению соответствия муниципальных нормативных правовых актов Конституции Российской Федерации, федеральному законодательству, Конституции Республики Тыва, законодательству Республики Тыва и уставам муниципальных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36AE6" w:rsidRDefault="001B7892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31.03.2025 в Регистре муниципальных актов республики всего содержится 15 583 (АППГ - 14 391) нормативных актов, из них 11 934  действующих (АППГ – 10 768). </w:t>
      </w:r>
    </w:p>
    <w:p w:rsidR="00B36AE6" w:rsidRDefault="00B36AE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AE6" w:rsidRDefault="001B7892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6245" cy="3004185"/>
            <wp:effectExtent l="0" t="0" r="27305" b="247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6AE6" w:rsidRDefault="00B36AE6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6AE6" w:rsidRDefault="001B7892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в Министерство для включения в Регистр 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>991</w:t>
      </w:r>
      <w:r>
        <w:rPr>
          <w:rFonts w:ascii="Times New Roman" w:hAnsi="Times New Roman" w:cs="Times New Roman"/>
          <w:bCs/>
          <w:sz w:val="28"/>
          <w:szCs w:val="28"/>
        </w:rPr>
        <w:t xml:space="preserve"> (АПГ – в 1 квартале 2024 году - </w:t>
      </w:r>
      <w:r>
        <w:rPr>
          <w:rFonts w:ascii="Times New Roman" w:hAnsi="Times New Roman" w:cs="Times New Roman"/>
          <w:sz w:val="28"/>
          <w:szCs w:val="28"/>
        </w:rPr>
        <w:t>703), из них:</w:t>
      </w:r>
    </w:p>
    <w:p w:rsidR="00B36AE6" w:rsidRDefault="00B36AE6">
      <w:pPr>
        <w:tabs>
          <w:tab w:val="left" w:pos="567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AE6" w:rsidRDefault="001B7892">
      <w:pPr>
        <w:pStyle w:val="ad"/>
        <w:numPr>
          <w:ilvl w:val="0"/>
          <w:numId w:val="1"/>
        </w:numPr>
        <w:tabs>
          <w:tab w:val="left" w:pos="567"/>
          <w:tab w:val="left" w:pos="993"/>
          <w:tab w:val="left" w:pos="34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возвращены органам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783</w:t>
      </w:r>
      <w:r>
        <w:rPr>
          <w:rFonts w:ascii="Times New Roman" w:hAnsi="Times New Roman" w:cs="Times New Roman"/>
          <w:sz w:val="28"/>
          <w:szCs w:val="28"/>
        </w:rPr>
        <w:t xml:space="preserve"> (АППГ – в 1 квартале 2024 году - 412) связи с </w:t>
      </w:r>
      <w:proofErr w:type="spellStart"/>
      <w:r>
        <w:rPr>
          <w:rFonts w:ascii="Times New Roman" w:hAnsi="Times New Roman"/>
          <w:sz w:val="28"/>
          <w:szCs w:val="28"/>
        </w:rPr>
        <w:t>ненормативностью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несоответствием требованиям приказа Министерства от 10.06.2019 № 51 «Об организации работы</w:t>
      </w:r>
      <w:r>
        <w:rPr>
          <w:rFonts w:ascii="Times New Roman" w:hAnsi="Times New Roman"/>
          <w:sz w:val="28"/>
          <w:szCs w:val="28"/>
        </w:rPr>
        <w:t xml:space="preserve"> по ведению регистра муниципальных нормативных правовых актов Республики Тыва» (отсутствие основного акта в регистре, отсутствие необходимых реквизитов, отсутствие электронных форматов и пр.);</w:t>
      </w:r>
    </w:p>
    <w:p w:rsidR="00B36AE6" w:rsidRDefault="00B36AE6">
      <w:pPr>
        <w:pStyle w:val="ad"/>
        <w:tabs>
          <w:tab w:val="left" w:pos="567"/>
          <w:tab w:val="left" w:pos="993"/>
          <w:tab w:val="left" w:pos="342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36AE6" w:rsidRDefault="001B7892">
      <w:pPr>
        <w:pStyle w:val="ad"/>
        <w:numPr>
          <w:ilvl w:val="0"/>
          <w:numId w:val="1"/>
        </w:numPr>
        <w:tabs>
          <w:tab w:val="left" w:pos="567"/>
          <w:tab w:val="left" w:pos="993"/>
          <w:tab w:val="left" w:pos="34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Регистр включено </w:t>
      </w:r>
      <w:r>
        <w:rPr>
          <w:rFonts w:ascii="Times New Roman" w:hAnsi="Times New Roman"/>
          <w:b/>
          <w:sz w:val="28"/>
          <w:szCs w:val="28"/>
        </w:rPr>
        <w:t xml:space="preserve">208 </w:t>
      </w:r>
      <w:r>
        <w:rPr>
          <w:rFonts w:ascii="Times New Roman" w:hAnsi="Times New Roman"/>
          <w:sz w:val="28"/>
          <w:szCs w:val="28"/>
        </w:rPr>
        <w:t xml:space="preserve">(АППГ – в 1 квартале 2024 года – 291).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6AE6" w:rsidRDefault="001B7892">
      <w:pPr>
        <w:tabs>
          <w:tab w:val="left" w:pos="567"/>
          <w:tab w:val="left" w:pos="993"/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Информация по месяцам</w:t>
      </w:r>
    </w:p>
    <w:p w:rsidR="00B36AE6" w:rsidRDefault="00B36AE6">
      <w:pPr>
        <w:tabs>
          <w:tab w:val="left" w:pos="567"/>
          <w:tab w:val="left" w:pos="993"/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2352"/>
        <w:gridCol w:w="2196"/>
        <w:gridCol w:w="2298"/>
      </w:tblGrid>
      <w:tr w:rsidR="00B36AE6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Месяц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поступивших актов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возвращенных актов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актов, включенных в Регистр</w:t>
            </w:r>
          </w:p>
        </w:tc>
      </w:tr>
      <w:tr w:rsidR="00B36AE6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188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E6" w:rsidRDefault="001B7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64</w:t>
            </w:r>
          </w:p>
        </w:tc>
      </w:tr>
      <w:tr w:rsidR="00B36AE6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477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405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E6" w:rsidRDefault="001B7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72</w:t>
            </w:r>
          </w:p>
        </w:tc>
      </w:tr>
      <w:tr w:rsidR="00B36AE6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326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254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E6" w:rsidRDefault="001B7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</w:tr>
      <w:tr w:rsidR="00B36AE6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E6" w:rsidRDefault="001B7892">
            <w:pPr>
              <w:tabs>
                <w:tab w:val="left" w:pos="567"/>
                <w:tab w:val="left" w:pos="34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991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783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E6" w:rsidRDefault="001B78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208 </w:t>
            </w:r>
          </w:p>
        </w:tc>
      </w:tr>
    </w:tbl>
    <w:p w:rsidR="00B36AE6" w:rsidRDefault="00B3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4108460"/>
    </w:p>
    <w:p w:rsidR="00B36AE6" w:rsidRDefault="001B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поступивших муниципальных </w:t>
      </w:r>
      <w:r>
        <w:rPr>
          <w:rFonts w:ascii="Times New Roman" w:hAnsi="Times New Roman" w:cs="Times New Roman"/>
          <w:sz w:val="28"/>
          <w:szCs w:val="28"/>
        </w:rPr>
        <w:t>актов за сравниваемые периоды связано с направлением со стороны Министерства запросов и напоминаний в адрес представительных и исполнительных органов муниципальных образований о необходимости направления для включения в Регистр принятых муниципальных актов</w:t>
      </w:r>
      <w:bookmarkEnd w:id="1"/>
      <w:r>
        <w:rPr>
          <w:rFonts w:ascii="Times New Roman" w:hAnsi="Times New Roman" w:cs="Times New Roman"/>
          <w:sz w:val="28"/>
          <w:szCs w:val="28"/>
        </w:rPr>
        <w:t>, в том числе по результатам сверки с органами прокуратуры Республики Тыва.</w:t>
      </w:r>
    </w:p>
    <w:p w:rsidR="00B36AE6" w:rsidRDefault="001B7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Тыва от 26.12.2012 № 1694 ВХ-1 «О регистре муниципальных нормативных правовых актов Республики Тыва» предусмотрено проведение юридической экспертизы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нормативных правовых актов, являющееся одной из стадий ведения Регистра. </w:t>
      </w:r>
    </w:p>
    <w:p w:rsidR="00B36AE6" w:rsidRDefault="001B7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правовую экспертизу муниципальных актов в зависимости от предмета регулирования осуществляют, в том числе, и другие органы исполнительной власти Республики Тыва. </w:t>
      </w:r>
    </w:p>
    <w:p w:rsidR="00B36AE6" w:rsidRDefault="001B78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64108472"/>
      <w:r>
        <w:rPr>
          <w:rFonts w:ascii="Times New Roman" w:hAnsi="Times New Roman" w:cs="Times New Roman"/>
          <w:sz w:val="28"/>
          <w:szCs w:val="28"/>
        </w:rPr>
        <w:t>За от</w:t>
      </w:r>
      <w:r>
        <w:rPr>
          <w:rFonts w:ascii="Times New Roman" w:hAnsi="Times New Roman" w:cs="Times New Roman"/>
          <w:sz w:val="28"/>
          <w:szCs w:val="28"/>
        </w:rPr>
        <w:t xml:space="preserve">четный период Министерством проведена юридическая экспертиза в отношении 195 (АППГ – в 1 квартале 2024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474, в 1 квартале 2023 г. – 160). </w:t>
      </w:r>
    </w:p>
    <w:p w:rsidR="00B36AE6" w:rsidRDefault="001B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итогам проведения Министерством юридической экспертизы в отношении 28 (АППГ – в 1 квартале 2024 – 34, в 1 квар</w:t>
      </w:r>
      <w:r>
        <w:rPr>
          <w:rFonts w:ascii="Times New Roman" w:hAnsi="Times New Roman" w:cs="Times New Roman"/>
          <w:bCs/>
          <w:sz w:val="28"/>
          <w:szCs w:val="28"/>
        </w:rPr>
        <w:t>тале 2023 – 10)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актов выявлено несоответствие действующему законодательству или уставу муниципального образования.</w:t>
      </w:r>
    </w:p>
    <w:bookmarkEnd w:id="2"/>
    <w:p w:rsidR="00B36AE6" w:rsidRDefault="001B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экспертных заключений, органами местного самоуправления часто допускаются нарушения в регулировании вопросов прохожде</w:t>
      </w:r>
      <w:r>
        <w:rPr>
          <w:rFonts w:ascii="Times New Roman" w:hAnsi="Times New Roman" w:cs="Times New Roman"/>
          <w:sz w:val="28"/>
          <w:szCs w:val="28"/>
        </w:rPr>
        <w:t>ния муниципальной службы, несоблюдения компетенций, разработки административных регламентов предоставления муниципальных услуг.</w:t>
      </w:r>
    </w:p>
    <w:p w:rsidR="00B36AE6" w:rsidRDefault="001B7892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108486"/>
      <w:r>
        <w:rPr>
          <w:rFonts w:ascii="Times New Roman" w:hAnsi="Times New Roman" w:cs="Times New Roman"/>
          <w:sz w:val="28"/>
          <w:szCs w:val="28"/>
        </w:rPr>
        <w:t xml:space="preserve">По данным Регистра на 31.03.2025 количество действующих муниципальных актов со статусом </w:t>
      </w:r>
      <w:r>
        <w:rPr>
          <w:rFonts w:ascii="Times New Roman" w:hAnsi="Times New Roman" w:cs="Times New Roman"/>
          <w:b/>
          <w:i/>
          <w:sz w:val="28"/>
          <w:szCs w:val="28"/>
        </w:rPr>
        <w:t>«Выявлено несоответствие федеральному за</w:t>
      </w:r>
      <w:r>
        <w:rPr>
          <w:rFonts w:ascii="Times New Roman" w:hAnsi="Times New Roman" w:cs="Times New Roman"/>
          <w:b/>
          <w:i/>
          <w:sz w:val="28"/>
          <w:szCs w:val="28"/>
        </w:rPr>
        <w:t>кону», «Выявлено несоответствие законодательству субъекта», «Выявлено несоответствие уставу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числа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актов, зарегистрированных с 2009 по 2024 годы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556</w:t>
      </w:r>
      <w:r>
        <w:rPr>
          <w:rFonts w:ascii="Times New Roman" w:hAnsi="Times New Roman" w:cs="Times New Roman"/>
          <w:bCs/>
          <w:sz w:val="28"/>
          <w:szCs w:val="28"/>
        </w:rPr>
        <w:t>, за отчетный период с 01.01.2025 по 31.03.2025 – 12.</w:t>
      </w:r>
    </w:p>
    <w:p w:rsidR="00B36AE6" w:rsidRDefault="001B7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ежеквартально направляются обращения в органы местного самоуправления муниципальных образований о необходимости актуализации сведений в Регистре в части подтверждения статуса действующих муниципальных нормативных актов и приведения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действующему законодательству муниципальных нормативных актов, не соответствующих федеральному законодательству, согласно отрицательным экспертным заключениям с 2009 по 1 квартал 2025 г. </w:t>
      </w:r>
    </w:p>
    <w:p w:rsidR="00B36AE6" w:rsidRDefault="001B7892">
      <w:pPr>
        <w:tabs>
          <w:tab w:val="left" w:pos="709"/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с органами прокуратуры республики 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п</w:t>
      </w:r>
      <w:r>
        <w:rPr>
          <w:rFonts w:ascii="Times New Roman" w:hAnsi="Times New Roman"/>
          <w:sz w:val="28"/>
          <w:szCs w:val="28"/>
        </w:rPr>
        <w:t xml:space="preserve">роводится сверка по количеству муниципальных актов, включенных в Регистр, с количеством муниципальных актов, принятых муниципальными образованиями за период с 2021 по 2024 годы. </w:t>
      </w:r>
    </w:p>
    <w:bookmarkEnd w:id="3"/>
    <w:p w:rsidR="00B36AE6" w:rsidRDefault="001B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также отметить следующие проблемные вопросы, касающиеся ведения </w:t>
      </w:r>
      <w:r>
        <w:rPr>
          <w:rFonts w:ascii="Times New Roman" w:hAnsi="Times New Roman" w:cs="Times New Roman"/>
          <w:sz w:val="28"/>
          <w:szCs w:val="28"/>
        </w:rPr>
        <w:t>Регистра муниципальных актов республики, которые также были отмечены и в 2022-2024 годах:</w:t>
      </w:r>
    </w:p>
    <w:p w:rsidR="00B36AE6" w:rsidRDefault="001B789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Нарушения, выявленные при представлении муниципальных нормативных правовых актов и дополнительных сведений к ним для включения в Регистр муниципальных нормативных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правовых актов.</w:t>
      </w:r>
    </w:p>
    <w:p w:rsidR="00B36AE6" w:rsidRDefault="001B789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4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Тыва от 26.12.2012 № 1694 ВХ-1 «О регистре муниципальных нормативных правовых актов Республики Тыва»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ключению в Регистр подлежат действующие муниципальные нормативные правовые акты.</w:t>
      </w:r>
    </w:p>
    <w:p w:rsidR="00B36AE6" w:rsidRDefault="001B789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Однако в наруше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ние указанного требования законодательства, органами местного самоуправления для включения в Регистр представляются муниципальные акты, не носящие нормативный характер, в частности, такие как:</w:t>
      </w:r>
    </w:p>
    <w:p w:rsidR="00B36AE6" w:rsidRDefault="001B789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отчета по исполнению местного бюджета;</w:t>
      </w:r>
    </w:p>
    <w:p w:rsidR="00B36AE6" w:rsidRDefault="001B789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создани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различных рабочих групп;</w:t>
      </w:r>
    </w:p>
    <w:p w:rsidR="00B36AE6" w:rsidRDefault="001B789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присвоении адресов объектам недвижимости, земельным участкам;</w:t>
      </w:r>
    </w:p>
    <w:p w:rsidR="00B36AE6" w:rsidRDefault="001B789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>об отчетах рабочих групп, комиссий, должностных лиц и т.п.</w:t>
      </w:r>
    </w:p>
    <w:p w:rsidR="00B36AE6" w:rsidRDefault="001B7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ошибочно представляются для включения в Регистр </w:t>
      </w:r>
      <w:r>
        <w:rPr>
          <w:rFonts w:ascii="Times New Roman" w:hAnsi="Times New Roman" w:cs="Times New Roman"/>
          <w:color w:val="000000"/>
          <w:sz w:val="28"/>
          <w:szCs w:val="28"/>
        </w:rPr>
        <w:t>акты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принятии Устава муниципального образования и о внесении изменений в Устав, подлежащие направлению в Управление Министерства юстиции РФ по РТ.</w:t>
      </w:r>
    </w:p>
    <w:p w:rsidR="00B36AE6" w:rsidRDefault="001B7892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сроков представления актов для включения в Регистр, установленных федеральным и республиканским за</w:t>
      </w:r>
      <w:r>
        <w:rPr>
          <w:rFonts w:ascii="Times New Roman" w:hAnsi="Times New Roman" w:cs="Times New Roman"/>
          <w:sz w:val="28"/>
          <w:szCs w:val="28"/>
        </w:rPr>
        <w:t>конодательством.</w:t>
      </w:r>
    </w:p>
    <w:p w:rsidR="00B36AE6" w:rsidRDefault="001B78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10.09.2008 № 657 «О ведении федерального регистра муниципальных нормативных правовых актов» актуализация регистров муниципальных нормативных правовых актов субъектов Рос</w:t>
      </w:r>
      <w:r>
        <w:rPr>
          <w:rFonts w:ascii="Times New Roman" w:hAnsi="Times New Roman" w:cs="Times New Roman"/>
          <w:sz w:val="28"/>
          <w:szCs w:val="28"/>
        </w:rPr>
        <w:t>сийской Федерации должна обеспечивать пополнение федерального регистра муниципальных нормативных правовых актов не позднее 60 дней со дня принятия (издания) муниципальных нормативных правовых актов).</w:t>
      </w:r>
      <w:proofErr w:type="gramEnd"/>
    </w:p>
    <w:p w:rsidR="00B36AE6" w:rsidRDefault="001B7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Республики Тыва «О регистре муниципальных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 Республики Тыва» установлено, что муниципальный акт должен быть представлен не позднее 15 календарных дней со дня его принятия (издания).</w:t>
      </w:r>
    </w:p>
    <w:p w:rsidR="00B36AE6" w:rsidRDefault="001B78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Затрудняет работу по обеспечению актуальности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</w:t>
      </w:r>
      <w:r>
        <w:rPr>
          <w:rFonts w:ascii="Times New Roman" w:hAnsi="Times New Roman" w:cs="Times New Roman"/>
          <w:sz w:val="28"/>
          <w:szCs w:val="28"/>
        </w:rPr>
        <w:t>управления сведений об опубликовании (обнародовании) нормативных правовых актов.</w:t>
      </w:r>
    </w:p>
    <w:p w:rsidR="00B36AE6" w:rsidRDefault="00B36AE6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6AE6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92" w:rsidRDefault="001B7892">
      <w:pPr>
        <w:spacing w:line="240" w:lineRule="auto"/>
      </w:pPr>
      <w:r>
        <w:separator/>
      </w:r>
    </w:p>
  </w:endnote>
  <w:endnote w:type="continuationSeparator" w:id="0">
    <w:p w:rsidR="001B7892" w:rsidRDefault="001B7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81591514"/>
    </w:sdtPr>
    <w:sdtEndPr/>
    <w:sdtContent>
      <w:p w:rsidR="00B36AE6" w:rsidRDefault="001B789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1CC1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36AE6" w:rsidRDefault="00B36A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92" w:rsidRDefault="001B7892">
      <w:pPr>
        <w:spacing w:after="0"/>
      </w:pPr>
      <w:r>
        <w:separator/>
      </w:r>
    </w:p>
  </w:footnote>
  <w:footnote w:type="continuationSeparator" w:id="0">
    <w:p w:rsidR="001B7892" w:rsidRDefault="001B78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29C"/>
    <w:multiLevelType w:val="multilevel"/>
    <w:tmpl w:val="198412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A4895"/>
    <w:multiLevelType w:val="multilevel"/>
    <w:tmpl w:val="254A4895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61110E"/>
    <w:multiLevelType w:val="multilevel"/>
    <w:tmpl w:val="3861110E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0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19"/>
    <w:rsid w:val="000031F8"/>
    <w:rsid w:val="00003E7A"/>
    <w:rsid w:val="00006ABD"/>
    <w:rsid w:val="00021A6E"/>
    <w:rsid w:val="00034BE1"/>
    <w:rsid w:val="00037086"/>
    <w:rsid w:val="00050351"/>
    <w:rsid w:val="00051D74"/>
    <w:rsid w:val="00061A2F"/>
    <w:rsid w:val="0008212A"/>
    <w:rsid w:val="00090CE8"/>
    <w:rsid w:val="000B57F6"/>
    <w:rsid w:val="000E51B1"/>
    <w:rsid w:val="000F2272"/>
    <w:rsid w:val="00116921"/>
    <w:rsid w:val="00122180"/>
    <w:rsid w:val="001401B3"/>
    <w:rsid w:val="001470A7"/>
    <w:rsid w:val="001557C1"/>
    <w:rsid w:val="00170B0F"/>
    <w:rsid w:val="001749E8"/>
    <w:rsid w:val="00185A27"/>
    <w:rsid w:val="001903B4"/>
    <w:rsid w:val="00191DB2"/>
    <w:rsid w:val="00196535"/>
    <w:rsid w:val="001A3149"/>
    <w:rsid w:val="001A5061"/>
    <w:rsid w:val="001B06A9"/>
    <w:rsid w:val="001B4D2E"/>
    <w:rsid w:val="001B7892"/>
    <w:rsid w:val="001E0357"/>
    <w:rsid w:val="001F108C"/>
    <w:rsid w:val="00243A87"/>
    <w:rsid w:val="0024493A"/>
    <w:rsid w:val="00252CC0"/>
    <w:rsid w:val="0029679E"/>
    <w:rsid w:val="002D5163"/>
    <w:rsid w:val="002E2702"/>
    <w:rsid w:val="002E2FC0"/>
    <w:rsid w:val="002F6AC6"/>
    <w:rsid w:val="00301315"/>
    <w:rsid w:val="00312837"/>
    <w:rsid w:val="003279C4"/>
    <w:rsid w:val="00341519"/>
    <w:rsid w:val="00342F9B"/>
    <w:rsid w:val="003502C5"/>
    <w:rsid w:val="003871F1"/>
    <w:rsid w:val="003B7F39"/>
    <w:rsid w:val="003C74D4"/>
    <w:rsid w:val="003D4DC5"/>
    <w:rsid w:val="003E3B7A"/>
    <w:rsid w:val="003F252E"/>
    <w:rsid w:val="00431CC1"/>
    <w:rsid w:val="004517F7"/>
    <w:rsid w:val="00471320"/>
    <w:rsid w:val="004A3A1A"/>
    <w:rsid w:val="004B5F11"/>
    <w:rsid w:val="004E3134"/>
    <w:rsid w:val="00512DF8"/>
    <w:rsid w:val="005148AA"/>
    <w:rsid w:val="00530847"/>
    <w:rsid w:val="005508FD"/>
    <w:rsid w:val="005617FE"/>
    <w:rsid w:val="00595772"/>
    <w:rsid w:val="005F6E96"/>
    <w:rsid w:val="00606733"/>
    <w:rsid w:val="00611571"/>
    <w:rsid w:val="006150C9"/>
    <w:rsid w:val="00631FD2"/>
    <w:rsid w:val="0064370D"/>
    <w:rsid w:val="00672354"/>
    <w:rsid w:val="00672C28"/>
    <w:rsid w:val="00684570"/>
    <w:rsid w:val="0068508A"/>
    <w:rsid w:val="00687898"/>
    <w:rsid w:val="0069464A"/>
    <w:rsid w:val="006A365D"/>
    <w:rsid w:val="006D4D29"/>
    <w:rsid w:val="00735D05"/>
    <w:rsid w:val="00737C9F"/>
    <w:rsid w:val="00755057"/>
    <w:rsid w:val="0075743F"/>
    <w:rsid w:val="00761CA4"/>
    <w:rsid w:val="0079773E"/>
    <w:rsid w:val="007A7174"/>
    <w:rsid w:val="007E6311"/>
    <w:rsid w:val="007F1ADF"/>
    <w:rsid w:val="008411B6"/>
    <w:rsid w:val="00846797"/>
    <w:rsid w:val="008509C9"/>
    <w:rsid w:val="00855AB5"/>
    <w:rsid w:val="00872856"/>
    <w:rsid w:val="00884E2A"/>
    <w:rsid w:val="00885F95"/>
    <w:rsid w:val="00886918"/>
    <w:rsid w:val="008B65CF"/>
    <w:rsid w:val="008E4A5F"/>
    <w:rsid w:val="009008FB"/>
    <w:rsid w:val="00910336"/>
    <w:rsid w:val="0091235B"/>
    <w:rsid w:val="0091508D"/>
    <w:rsid w:val="00926648"/>
    <w:rsid w:val="00930B36"/>
    <w:rsid w:val="00946360"/>
    <w:rsid w:val="00961DA5"/>
    <w:rsid w:val="0097184E"/>
    <w:rsid w:val="00972615"/>
    <w:rsid w:val="009A07E8"/>
    <w:rsid w:val="009C30C6"/>
    <w:rsid w:val="009D160A"/>
    <w:rsid w:val="009E20E5"/>
    <w:rsid w:val="00A11E35"/>
    <w:rsid w:val="00A14D90"/>
    <w:rsid w:val="00A1551A"/>
    <w:rsid w:val="00A339C5"/>
    <w:rsid w:val="00A407F2"/>
    <w:rsid w:val="00A44735"/>
    <w:rsid w:val="00A53BBF"/>
    <w:rsid w:val="00A761D9"/>
    <w:rsid w:val="00A80020"/>
    <w:rsid w:val="00A82137"/>
    <w:rsid w:val="00A831C2"/>
    <w:rsid w:val="00A93E55"/>
    <w:rsid w:val="00AA7AF8"/>
    <w:rsid w:val="00AB2583"/>
    <w:rsid w:val="00AD58DF"/>
    <w:rsid w:val="00B03909"/>
    <w:rsid w:val="00B06173"/>
    <w:rsid w:val="00B36AE6"/>
    <w:rsid w:val="00B5333E"/>
    <w:rsid w:val="00B9260B"/>
    <w:rsid w:val="00B92DD7"/>
    <w:rsid w:val="00B96B17"/>
    <w:rsid w:val="00B975AB"/>
    <w:rsid w:val="00BA2D8D"/>
    <w:rsid w:val="00BB7BB5"/>
    <w:rsid w:val="00BD2B34"/>
    <w:rsid w:val="00BD3561"/>
    <w:rsid w:val="00C17571"/>
    <w:rsid w:val="00C7159D"/>
    <w:rsid w:val="00C736D6"/>
    <w:rsid w:val="00C8316B"/>
    <w:rsid w:val="00CA090C"/>
    <w:rsid w:val="00CA4387"/>
    <w:rsid w:val="00CA4F6F"/>
    <w:rsid w:val="00CB56FE"/>
    <w:rsid w:val="00D04143"/>
    <w:rsid w:val="00D10554"/>
    <w:rsid w:val="00D1407E"/>
    <w:rsid w:val="00D16CA0"/>
    <w:rsid w:val="00D17A60"/>
    <w:rsid w:val="00D23003"/>
    <w:rsid w:val="00D434A5"/>
    <w:rsid w:val="00D62CA4"/>
    <w:rsid w:val="00D67D50"/>
    <w:rsid w:val="00D81955"/>
    <w:rsid w:val="00D83582"/>
    <w:rsid w:val="00DA64EF"/>
    <w:rsid w:val="00DB05FB"/>
    <w:rsid w:val="00DD2B0E"/>
    <w:rsid w:val="00E06BD0"/>
    <w:rsid w:val="00E14DF7"/>
    <w:rsid w:val="00E25202"/>
    <w:rsid w:val="00E33B62"/>
    <w:rsid w:val="00E37995"/>
    <w:rsid w:val="00E43341"/>
    <w:rsid w:val="00E44138"/>
    <w:rsid w:val="00E7353D"/>
    <w:rsid w:val="00E92747"/>
    <w:rsid w:val="00E97A94"/>
    <w:rsid w:val="00EA12B4"/>
    <w:rsid w:val="00EB2824"/>
    <w:rsid w:val="00EC3D9E"/>
    <w:rsid w:val="00EC5CA6"/>
    <w:rsid w:val="00EC63E7"/>
    <w:rsid w:val="00EC7543"/>
    <w:rsid w:val="00EF03C2"/>
    <w:rsid w:val="00EF6C8A"/>
    <w:rsid w:val="00EF7CD0"/>
    <w:rsid w:val="00F011D5"/>
    <w:rsid w:val="00F21805"/>
    <w:rsid w:val="00F34263"/>
    <w:rsid w:val="00F35D78"/>
    <w:rsid w:val="00F52999"/>
    <w:rsid w:val="00F532F8"/>
    <w:rsid w:val="00F86BF4"/>
    <w:rsid w:val="00F96377"/>
    <w:rsid w:val="00FA7983"/>
    <w:rsid w:val="00FB7962"/>
    <w:rsid w:val="00FC14A2"/>
    <w:rsid w:val="00FC78D0"/>
    <w:rsid w:val="00FD2C4A"/>
    <w:rsid w:val="00FD7FCB"/>
    <w:rsid w:val="00FE708D"/>
    <w:rsid w:val="00FF2470"/>
    <w:rsid w:val="35C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e">
    <w:name w:val="Абзац списка Знак"/>
    <w:basedOn w:val="a0"/>
    <w:link w:val="ad"/>
    <w:uiPriority w:val="34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2">
                    <a:lumMod val="60000"/>
                    <a:lumOff val="40000"/>
                  </a:schemeClr>
                </a:solidFill>
                <a:latin typeface="Times New Roman" panose="02020603050405020304" charset="0"/>
                <a:cs typeface="Times New Roman" panose="02020603050405020304" charset="0"/>
              </a:rPr>
              <a:t>Количество содержащихся в Регистре МНПА, в том числе действующих</a:t>
            </a:r>
          </a:p>
        </c:rich>
      </c:tx>
      <c:layout>
        <c:manualLayout>
          <c:xMode val="edge"/>
          <c:yMode val="edge"/>
          <c:x val="0.13465789805839401"/>
          <c:y val="2.798727817604889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содержащихся в регистре МНПА 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2024</c:v>
                </c:pt>
                <c:pt idx="1">
                  <c:v>1 квартал 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14391</c:v>
                </c:pt>
                <c:pt idx="1">
                  <c:v>15583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действующих МНПА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2024</c:v>
                </c:pt>
                <c:pt idx="1">
                  <c:v>1 квартал 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10768</c:v>
                </c:pt>
                <c:pt idx="1">
                  <c:v>11934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500800"/>
        <c:axId val="166217408"/>
      </c:barChart>
      <c:catAx>
        <c:axId val="16750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endParaRPr lang="ru-RU"/>
          </a:p>
        </c:txPr>
        <c:crossAx val="166217408"/>
        <c:crosses val="autoZero"/>
        <c:auto val="1"/>
        <c:lblAlgn val="ctr"/>
        <c:lblOffset val="100"/>
        <c:noMultiLvlLbl val="0"/>
      </c:catAx>
      <c:valAx>
        <c:axId val="16621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50080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de5d32a7-dbd5-44a7-96f9-b5eb551c17fc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SakakAA</dc:creator>
  <cp:lastModifiedBy>Куулар Эртине-Мерген Мергенович</cp:lastModifiedBy>
  <cp:revision>2</cp:revision>
  <cp:lastPrinted>2025-02-06T02:41:00Z</cp:lastPrinted>
  <dcterms:created xsi:type="dcterms:W3CDTF">2025-12-05T03:28:00Z</dcterms:created>
  <dcterms:modified xsi:type="dcterms:W3CDTF">2025-12-05T03:28:00Z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56DD0A5294D6407C84EF20E3A1E12B65_12</vt:lpwstr>
  </property>
</Properties>
</file>