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48" w:rsidRDefault="00661B3C">
      <w:pPr>
        <w:tabs>
          <w:tab w:val="left" w:pos="3330"/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и ведение регистра </w:t>
      </w:r>
    </w:p>
    <w:p w:rsidR="00E85B48" w:rsidRDefault="00661B3C">
      <w:pPr>
        <w:tabs>
          <w:tab w:val="left" w:pos="3330"/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 Республики Тыва</w:t>
      </w:r>
    </w:p>
    <w:p w:rsidR="00E85B48" w:rsidRDefault="00661B3C">
      <w:pPr>
        <w:tabs>
          <w:tab w:val="left" w:pos="3330"/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2024 год</w:t>
      </w:r>
    </w:p>
    <w:p w:rsidR="00E85B48" w:rsidRDefault="00E85B48">
      <w:pPr>
        <w:tabs>
          <w:tab w:val="left" w:pos="567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B48" w:rsidRDefault="00661B3C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дним из приоритетных направлений деятельности Министерства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юстиции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Тыва (далее - Министерство)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формирование условий, при которых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 быть обеспечена в полном объеме законность и доступность принимаемых муниципальных нормативных правовых актов.</w:t>
      </w:r>
    </w:p>
    <w:p w:rsidR="00E85B48" w:rsidRDefault="00661B3C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этим, ведение регистра муниципальных нормативных правовых актов Республики Тыва (далее - Регистр), их учет, обработка и системат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изация способствуют обеспечению соответствия муниципальных нормативных правовых актов Конституции Российской Федерации, федеральному законодательству, Конституции Республики Тыва, законодательству Республики Тыва и уставам муниципальных образований.</w:t>
      </w:r>
    </w:p>
    <w:p w:rsidR="00E85B48" w:rsidRDefault="00661B3C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</w:t>
      </w:r>
      <w:r>
        <w:rPr>
          <w:rFonts w:ascii="Times New Roman" w:hAnsi="Times New Roman" w:cs="Times New Roman"/>
          <w:sz w:val="28"/>
          <w:szCs w:val="28"/>
        </w:rPr>
        <w:t xml:space="preserve">тоянию на 31.12.2024 в Регистре муниципальных актов республики всего содержится 15 350 (АППГ – в 2023 - 13 852, в 2022 – 12 339) нормативных актов, из них 11 775  действующих (АППГ – 10 840). </w:t>
      </w:r>
    </w:p>
    <w:p w:rsidR="00E85B48" w:rsidRDefault="00E85B48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B48" w:rsidRDefault="00661B3C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72025" cy="27241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85B48" w:rsidRDefault="00E85B48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5B48" w:rsidRDefault="00661B3C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истекший период 2024 года в Министерство для включения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Регистр поступило </w:t>
      </w:r>
      <w:r>
        <w:rPr>
          <w:rFonts w:ascii="Times New Roman" w:hAnsi="Times New Roman" w:cs="Times New Roman"/>
          <w:b/>
          <w:bCs/>
          <w:sz w:val="28"/>
          <w:szCs w:val="28"/>
        </w:rPr>
        <w:t>3389</w:t>
      </w:r>
      <w:r>
        <w:rPr>
          <w:rFonts w:ascii="Times New Roman" w:hAnsi="Times New Roman" w:cs="Times New Roman"/>
          <w:bCs/>
          <w:sz w:val="28"/>
          <w:szCs w:val="28"/>
        </w:rPr>
        <w:t xml:space="preserve"> (АПГ – в 2023 году - </w:t>
      </w:r>
      <w:r>
        <w:rPr>
          <w:rFonts w:ascii="Times New Roman" w:hAnsi="Times New Roman" w:cs="Times New Roman"/>
          <w:sz w:val="28"/>
          <w:szCs w:val="28"/>
        </w:rPr>
        <w:t>4 692, в 2022 году - 2990), из них:</w:t>
      </w:r>
    </w:p>
    <w:p w:rsidR="00E85B48" w:rsidRDefault="00E85B48">
      <w:pPr>
        <w:tabs>
          <w:tab w:val="left" w:pos="567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B48" w:rsidRDefault="00661B3C">
      <w:pPr>
        <w:pStyle w:val="ad"/>
        <w:numPr>
          <w:ilvl w:val="0"/>
          <w:numId w:val="1"/>
        </w:numPr>
        <w:tabs>
          <w:tab w:val="left" w:pos="567"/>
          <w:tab w:val="left" w:pos="993"/>
          <w:tab w:val="left" w:pos="34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возвращены органам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>1947</w:t>
      </w:r>
      <w:r>
        <w:rPr>
          <w:rFonts w:ascii="Times New Roman" w:hAnsi="Times New Roman" w:cs="Times New Roman"/>
          <w:sz w:val="28"/>
          <w:szCs w:val="28"/>
        </w:rPr>
        <w:t xml:space="preserve"> (АППГ - в 2023 году - 2 760, в 2022 году - 2056) связи с </w:t>
      </w:r>
      <w:proofErr w:type="spellStart"/>
      <w:r>
        <w:rPr>
          <w:rFonts w:ascii="Times New Roman" w:hAnsi="Times New Roman"/>
          <w:sz w:val="28"/>
          <w:szCs w:val="28"/>
        </w:rPr>
        <w:t>ненормативностью</w:t>
      </w:r>
      <w:proofErr w:type="spellEnd"/>
      <w:r>
        <w:rPr>
          <w:rFonts w:ascii="Times New Roman" w:hAnsi="Times New Roman"/>
          <w:sz w:val="28"/>
          <w:szCs w:val="28"/>
        </w:rPr>
        <w:t xml:space="preserve"> и (или) несоответствием требованиям приказа </w:t>
      </w:r>
      <w:r>
        <w:rPr>
          <w:rFonts w:ascii="Times New Roman" w:hAnsi="Times New Roman"/>
          <w:sz w:val="28"/>
          <w:szCs w:val="28"/>
        </w:rPr>
        <w:t>Министерства от 10.06.2019 № 51 «Об организации работы по ведению регистра муниципальных нормативных правовых актов Республики Тыва» (отсутствие основного акта в регистре, отсутствие необходимых реквизитов, отсутствие электронных форматов и пр.);</w:t>
      </w:r>
      <w:proofErr w:type="gramEnd"/>
    </w:p>
    <w:p w:rsidR="00E85B48" w:rsidRDefault="00E85B48">
      <w:pPr>
        <w:pStyle w:val="ad"/>
        <w:tabs>
          <w:tab w:val="left" w:pos="567"/>
          <w:tab w:val="left" w:pos="993"/>
          <w:tab w:val="left" w:pos="342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85B48" w:rsidRDefault="00661B3C">
      <w:pPr>
        <w:pStyle w:val="ad"/>
        <w:numPr>
          <w:ilvl w:val="0"/>
          <w:numId w:val="1"/>
        </w:numPr>
        <w:tabs>
          <w:tab w:val="left" w:pos="567"/>
          <w:tab w:val="left" w:pos="993"/>
          <w:tab w:val="left" w:pos="34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Регист</w:t>
      </w:r>
      <w:r>
        <w:rPr>
          <w:rFonts w:ascii="Times New Roman" w:hAnsi="Times New Roman"/>
          <w:sz w:val="28"/>
          <w:szCs w:val="28"/>
        </w:rPr>
        <w:t xml:space="preserve">р включено </w:t>
      </w:r>
      <w:r>
        <w:rPr>
          <w:rFonts w:ascii="Times New Roman" w:hAnsi="Times New Roman"/>
          <w:b/>
          <w:sz w:val="28"/>
          <w:szCs w:val="28"/>
        </w:rPr>
        <w:t xml:space="preserve">1498, </w:t>
      </w:r>
      <w:r>
        <w:rPr>
          <w:rFonts w:ascii="Times New Roman" w:hAnsi="Times New Roman"/>
          <w:sz w:val="28"/>
          <w:szCs w:val="28"/>
        </w:rPr>
        <w:t xml:space="preserve">в том числе акты, поступившие в 2023 - </w:t>
      </w:r>
      <w:r>
        <w:rPr>
          <w:rFonts w:ascii="Times New Roman" w:hAnsi="Times New Roman"/>
          <w:b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(АППГ – в 2023 году – 1575, в 2022 году - 992).   </w:t>
      </w:r>
    </w:p>
    <w:p w:rsidR="00E85B48" w:rsidRDefault="00661B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Количество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, возвращенных и включенных </w:t>
      </w:r>
    </w:p>
    <w:p w:rsidR="00E85B48" w:rsidRDefault="00661B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Регистр МНПА </w:t>
      </w:r>
    </w:p>
    <w:p w:rsidR="00E85B48" w:rsidRDefault="00661B3C">
      <w:pPr>
        <w:tabs>
          <w:tab w:val="left" w:pos="567"/>
          <w:tab w:val="left" w:pos="993"/>
          <w:tab w:val="left" w:pos="3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E85B48" w:rsidRDefault="00661B3C">
      <w:pPr>
        <w:tabs>
          <w:tab w:val="left" w:pos="567"/>
          <w:tab w:val="left" w:pos="993"/>
          <w:tab w:val="left" w:pos="3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81675" cy="3200400"/>
            <wp:effectExtent l="0" t="0" r="952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85B48" w:rsidRDefault="00E85B48">
      <w:pPr>
        <w:tabs>
          <w:tab w:val="left" w:pos="567"/>
          <w:tab w:val="left" w:pos="993"/>
          <w:tab w:val="left" w:pos="3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B48" w:rsidRDefault="00661B3C">
      <w:pPr>
        <w:tabs>
          <w:tab w:val="left" w:pos="567"/>
          <w:tab w:val="left" w:pos="993"/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Информация по месяцам</w:t>
      </w:r>
    </w:p>
    <w:p w:rsidR="00E85B48" w:rsidRDefault="00E85B48">
      <w:pPr>
        <w:tabs>
          <w:tab w:val="left" w:pos="567"/>
          <w:tab w:val="left" w:pos="993"/>
          <w:tab w:val="left" w:pos="3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28"/>
        <w:gridCol w:w="2352"/>
        <w:gridCol w:w="2196"/>
        <w:gridCol w:w="2298"/>
      </w:tblGrid>
      <w:tr w:rsidR="00E85B48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8" w:rsidRDefault="00661B3C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Месяц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8" w:rsidRDefault="00661B3C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поступивших актов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8" w:rsidRDefault="00661B3C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возвращенных актов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8" w:rsidRDefault="00661B3C">
            <w:pPr>
              <w:tabs>
                <w:tab w:val="left" w:pos="567"/>
                <w:tab w:val="left" w:pos="342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актов, включенных в Регистр</w:t>
            </w:r>
          </w:p>
        </w:tc>
      </w:tr>
      <w:tr w:rsidR="00E85B48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8" w:rsidRDefault="00661B3C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Январь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B48" w:rsidRDefault="00661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E85B48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8" w:rsidRDefault="00661B3C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Февраль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B48" w:rsidRDefault="00661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135</w:t>
            </w:r>
          </w:p>
        </w:tc>
      </w:tr>
      <w:tr w:rsidR="00E85B48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8" w:rsidRDefault="00661B3C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Март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B48" w:rsidRDefault="00661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77</w:t>
            </w:r>
          </w:p>
        </w:tc>
      </w:tr>
      <w:tr w:rsidR="00E85B48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8" w:rsidRDefault="00661B3C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Апрель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B48" w:rsidRDefault="00661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79</w:t>
            </w:r>
          </w:p>
        </w:tc>
      </w:tr>
      <w:tr w:rsidR="00E85B48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8" w:rsidRDefault="00661B3C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B48" w:rsidRDefault="00661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169</w:t>
            </w:r>
          </w:p>
        </w:tc>
      </w:tr>
      <w:tr w:rsidR="00E85B48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8" w:rsidRDefault="00661B3C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Июнь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B48" w:rsidRDefault="00661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189</w:t>
            </w:r>
          </w:p>
        </w:tc>
      </w:tr>
      <w:tr w:rsidR="00E85B48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8" w:rsidRDefault="00661B3C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Июль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B48" w:rsidRDefault="00661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155</w:t>
            </w:r>
          </w:p>
        </w:tc>
      </w:tr>
      <w:tr w:rsidR="00E85B48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8" w:rsidRDefault="00661B3C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Август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B48" w:rsidRDefault="00661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</w:t>
            </w:r>
          </w:p>
        </w:tc>
      </w:tr>
      <w:tr w:rsidR="00E85B48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8" w:rsidRDefault="00661B3C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Сентябрь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B48" w:rsidRDefault="00661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110</w:t>
            </w:r>
          </w:p>
        </w:tc>
      </w:tr>
      <w:tr w:rsidR="00E85B48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8" w:rsidRDefault="00661B3C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Октябрь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B48" w:rsidRDefault="00661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117</w:t>
            </w:r>
          </w:p>
        </w:tc>
      </w:tr>
      <w:tr w:rsidR="00E85B48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8" w:rsidRDefault="00661B3C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Ноябрь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B48" w:rsidRDefault="00661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</w:t>
            </w:r>
          </w:p>
        </w:tc>
      </w:tr>
      <w:tr w:rsidR="00E85B48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8" w:rsidRDefault="00661B3C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Декабрь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B48" w:rsidRDefault="00661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218</w:t>
            </w:r>
          </w:p>
        </w:tc>
      </w:tr>
      <w:tr w:rsidR="00E85B48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8" w:rsidRDefault="00661B3C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3389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1947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B48" w:rsidRDefault="00661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1442 (дополнительно 56 актов, поступивших в 2023 году)</w:t>
            </w:r>
          </w:p>
        </w:tc>
      </w:tr>
    </w:tbl>
    <w:p w:rsidR="00E85B48" w:rsidRDefault="00E8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4108460"/>
    </w:p>
    <w:p w:rsidR="00E85B48" w:rsidRDefault="0066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поступивших муниципальных актов за сравниваемые периоды</w:t>
      </w:r>
      <w:r>
        <w:rPr>
          <w:rFonts w:ascii="Times New Roman" w:hAnsi="Times New Roman" w:cs="Times New Roman"/>
          <w:sz w:val="28"/>
          <w:szCs w:val="28"/>
        </w:rPr>
        <w:t xml:space="preserve"> связано с направлением со стороны Министерства запросов и напоминаний в адрес представительных и исполнительных органов муниципальных образований о необходимости направления для включения в Регистр принятых муниципальных актов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B48" w:rsidRDefault="00661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Республики Тыва от 26.12.2012 № 1694 ВХ-1 «О регистре муниципальных нормативных правовых актов Республики Тыва» предусмотрено проведение юридической экспертизы муниципальных нормативных правовых актов, являющееся одной из стадий ведения Регистра. </w:t>
      </w:r>
    </w:p>
    <w:p w:rsidR="00E85B48" w:rsidRDefault="00661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2018 года правовую экспертизу муниципальных актов в зависимости от предмета регулирования осуществляют, в том числе, и другие органы исполнительной власти Республики Тыва. </w:t>
      </w:r>
    </w:p>
    <w:p w:rsidR="00E85B48" w:rsidRDefault="00661B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64108472"/>
      <w:r>
        <w:rPr>
          <w:rFonts w:ascii="Times New Roman" w:hAnsi="Times New Roman" w:cs="Times New Roman"/>
          <w:sz w:val="28"/>
          <w:szCs w:val="28"/>
        </w:rPr>
        <w:t>За отчетный период Министерством проведена юридическая экспертиза в отношении 111</w:t>
      </w:r>
      <w:r>
        <w:rPr>
          <w:rFonts w:ascii="Times New Roman" w:hAnsi="Times New Roman" w:cs="Times New Roman"/>
          <w:sz w:val="28"/>
          <w:szCs w:val="28"/>
        </w:rPr>
        <w:t xml:space="preserve">0 (АППГ – в 2023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952, в 2022 – 884). </w:t>
      </w:r>
    </w:p>
    <w:p w:rsidR="00E85B48" w:rsidRDefault="0066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итогам проведения Министерством юридической экспертизы в отношении 79 (АППГ – в 2023 – 83, в 2022 – 71)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актов выявлено несоответствие действующему законодательству или уставу муниципального образован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E85B48" w:rsidRDefault="00E85B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85B48" w:rsidRDefault="00661B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Количество проведенных Министерством экспертных заключений в отношении МНПА, в том числе отрицательных</w:t>
      </w:r>
    </w:p>
    <w:p w:rsidR="00E85B48" w:rsidRDefault="00E85B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85B48" w:rsidRDefault="0066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1550" cy="260985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bookmarkEnd w:id="2"/>
    <w:p w:rsidR="00E85B48" w:rsidRDefault="00E85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85B48" w:rsidRDefault="00661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экспертных заключений, органами местного самоуправления часто допускаются нарушения в регулировании вопросов прохождения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службы, несоблюдения компетенций, разработки административных регламентов предоставления муниципальных услуг.</w:t>
      </w:r>
    </w:p>
    <w:p w:rsidR="00E85B48" w:rsidRDefault="00661B3C">
      <w:pPr>
        <w:tabs>
          <w:tab w:val="left" w:pos="567"/>
          <w:tab w:val="left" w:pos="34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64108486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данным Регистра на 31.12.2024 количество действующих муниципальных актов со статусом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«Выявлено несоответствие федеральному закону», «Выявлено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несоответствие законодательству субъекта», «Выявлено </w:t>
      </w: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несоответствие уставу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 числа актов, зарегистрированных с 2009 по 2024 годы </w:t>
      </w:r>
      <w:r>
        <w:rPr>
          <w:rFonts w:ascii="Times New Roman" w:hAnsi="Times New Roman" w:cs="Times New Roman"/>
          <w:sz w:val="28"/>
          <w:szCs w:val="28"/>
        </w:rPr>
        <w:t xml:space="preserve">составляет 569 (АППГ – в 2023 – </w:t>
      </w:r>
      <w:r>
        <w:rPr>
          <w:rFonts w:ascii="Times New Roman" w:hAnsi="Times New Roman" w:cs="Times New Roman"/>
          <w:bCs/>
          <w:sz w:val="28"/>
          <w:szCs w:val="28"/>
        </w:rPr>
        <w:t>930, в 2022 - 2553), за отчетный период с 01.12.2024 по 31.12.2024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100 (АППГ – в 2023 – 152, в 2022 – 39).</w:t>
      </w:r>
      <w:proofErr w:type="gramEnd"/>
    </w:p>
    <w:p w:rsidR="00E85B48" w:rsidRDefault="00661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31.12.2023 количество муниципальных актов, имеющих статус действия «действующий» и статус соответствия законодательству «выявлено несоответствие законодательству» составляло </w:t>
      </w:r>
      <w:r>
        <w:rPr>
          <w:rFonts w:ascii="Times New Roman" w:hAnsi="Times New Roman" w:cs="Times New Roman"/>
          <w:b/>
          <w:sz w:val="28"/>
          <w:szCs w:val="28"/>
        </w:rPr>
        <w:t xml:space="preserve">930. </w:t>
      </w:r>
      <w:r>
        <w:rPr>
          <w:rFonts w:ascii="Times New Roman" w:hAnsi="Times New Roman" w:cs="Times New Roman"/>
          <w:sz w:val="28"/>
          <w:szCs w:val="28"/>
        </w:rPr>
        <w:t>В течение го</w:t>
      </w:r>
      <w:r>
        <w:rPr>
          <w:rFonts w:ascii="Times New Roman" w:hAnsi="Times New Roman" w:cs="Times New Roman"/>
          <w:sz w:val="28"/>
          <w:szCs w:val="28"/>
        </w:rPr>
        <w:t xml:space="preserve">да, благодаря совместной работе Министерства с органами прокуратуры республики, количество данных актов снизилось на   </w:t>
      </w:r>
      <w:r>
        <w:rPr>
          <w:rFonts w:ascii="Times New Roman" w:hAnsi="Times New Roman" w:cs="Times New Roman"/>
          <w:b/>
          <w:sz w:val="28"/>
          <w:szCs w:val="28"/>
        </w:rPr>
        <w:t>361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B48" w:rsidRDefault="00661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Министерством ежеквартально направляются обращения в органы местного самоуправления муниципальных образований о необхо</w:t>
      </w:r>
      <w:r>
        <w:rPr>
          <w:rFonts w:ascii="Times New Roman" w:hAnsi="Times New Roman" w:cs="Times New Roman"/>
          <w:sz w:val="28"/>
          <w:szCs w:val="28"/>
        </w:rPr>
        <w:t xml:space="preserve">димости актуализации сведений в Регистре в части подтверждения статуса действующих муниципальных нормативных актов и приведения в соответствие действующему законодательству муниципальных нормативных актов, не соответствующих федеральному законодательству, </w:t>
      </w:r>
      <w:r>
        <w:rPr>
          <w:rFonts w:ascii="Times New Roman" w:hAnsi="Times New Roman" w:cs="Times New Roman"/>
          <w:sz w:val="28"/>
          <w:szCs w:val="28"/>
        </w:rPr>
        <w:t xml:space="preserve">согласно отрицательным экспертным заключениям с 2009 по 2024 г. </w:t>
      </w:r>
    </w:p>
    <w:p w:rsidR="00E85B48" w:rsidRDefault="00661B3C">
      <w:pPr>
        <w:tabs>
          <w:tab w:val="left" w:pos="709"/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с органами прокуратуры республики и местного самоуправления п</w:t>
      </w:r>
      <w:r>
        <w:rPr>
          <w:rFonts w:ascii="Times New Roman" w:hAnsi="Times New Roman"/>
          <w:sz w:val="28"/>
          <w:szCs w:val="28"/>
        </w:rPr>
        <w:t>роводится сверка по количеству муниципальных актов, включенных в Регистр, с количеством муниципальных актов, принятых муниц</w:t>
      </w:r>
      <w:r>
        <w:rPr>
          <w:rFonts w:ascii="Times New Roman" w:hAnsi="Times New Roman"/>
          <w:sz w:val="28"/>
          <w:szCs w:val="28"/>
        </w:rPr>
        <w:t>ипальными образованиями. В 2025 году данная работа будет продолжена.</w:t>
      </w:r>
    </w:p>
    <w:p w:rsidR="00E85B48" w:rsidRDefault="00E85B48">
      <w:pPr>
        <w:tabs>
          <w:tab w:val="left" w:pos="709"/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85B48" w:rsidRDefault="00661B3C">
      <w:pPr>
        <w:tabs>
          <w:tab w:val="left" w:pos="567"/>
          <w:tab w:val="left" w:pos="34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314950" cy="313372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85B48" w:rsidRDefault="00E8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B48" w:rsidRDefault="00661B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в адрес Министерства поступило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актов прокурорского реагирования, </w:t>
      </w:r>
      <w:r>
        <w:rPr>
          <w:rFonts w:ascii="Times New Roman" w:hAnsi="Times New Roman" w:cs="Times New Roman"/>
          <w:sz w:val="28"/>
          <w:szCs w:val="28"/>
        </w:rPr>
        <w:t>их них  в отношении актов следующих ОМСУ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85B48" w:rsidRDefault="0066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Тес-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– 7;</w:t>
      </w:r>
    </w:p>
    <w:p w:rsidR="00E85B48" w:rsidRDefault="0066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– 1.</w:t>
      </w:r>
    </w:p>
    <w:p w:rsidR="00E85B48" w:rsidRDefault="0066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31.12.2024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4 акта.</w:t>
      </w:r>
    </w:p>
    <w:p w:rsidR="00E85B48" w:rsidRDefault="0066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сравнения, за аналогичный период прошлого года актов прокурорского реагирования не поступало, в 2022 году поступило 36 актов прокурорского реагирования </w:t>
      </w:r>
      <w:r>
        <w:rPr>
          <w:rFonts w:ascii="Times New Roman" w:hAnsi="Times New Roman" w:cs="Times New Roman"/>
          <w:sz w:val="28"/>
        </w:rPr>
        <w:t>(2 предс</w:t>
      </w:r>
      <w:r>
        <w:rPr>
          <w:rFonts w:ascii="Times New Roman" w:hAnsi="Times New Roman" w:cs="Times New Roman"/>
          <w:sz w:val="28"/>
        </w:rPr>
        <w:t xml:space="preserve">тавления и 34 протеста), принесенные на муниципальные акты мэрии г. Кызыла (16), </w:t>
      </w:r>
      <w:proofErr w:type="spellStart"/>
      <w:r>
        <w:rPr>
          <w:rFonts w:ascii="Times New Roman" w:hAnsi="Times New Roman" w:cs="Times New Roman"/>
          <w:sz w:val="28"/>
        </w:rPr>
        <w:t>Чаа-Хольского</w:t>
      </w:r>
      <w:proofErr w:type="spellEnd"/>
      <w:r>
        <w:rPr>
          <w:rFonts w:ascii="Times New Roman" w:hAnsi="Times New Roman" w:cs="Times New Roman"/>
          <w:sz w:val="28"/>
        </w:rPr>
        <w:t xml:space="preserve"> (13), с. Кара-</w:t>
      </w:r>
      <w:proofErr w:type="spellStart"/>
      <w:r>
        <w:rPr>
          <w:rFonts w:ascii="Times New Roman" w:hAnsi="Times New Roman" w:cs="Times New Roman"/>
          <w:sz w:val="28"/>
        </w:rPr>
        <w:t>Чыраа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Сут-Хольского</w:t>
      </w:r>
      <w:proofErr w:type="spellEnd"/>
      <w:r>
        <w:rPr>
          <w:rFonts w:ascii="Times New Roman" w:hAnsi="Times New Roman" w:cs="Times New Roman"/>
          <w:sz w:val="28"/>
        </w:rPr>
        <w:t xml:space="preserve"> (5), с. </w:t>
      </w:r>
      <w:proofErr w:type="spellStart"/>
      <w:r>
        <w:rPr>
          <w:rFonts w:ascii="Times New Roman" w:hAnsi="Times New Roman" w:cs="Times New Roman"/>
          <w:sz w:val="28"/>
        </w:rPr>
        <w:t>Сукпак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Кызылского</w:t>
      </w:r>
      <w:proofErr w:type="spellEnd"/>
      <w:r>
        <w:rPr>
          <w:rFonts w:ascii="Times New Roman" w:hAnsi="Times New Roman" w:cs="Times New Roman"/>
          <w:sz w:val="28"/>
        </w:rPr>
        <w:t xml:space="preserve"> (1), </w:t>
      </w:r>
      <w:proofErr w:type="spellStart"/>
      <w:r>
        <w:rPr>
          <w:rFonts w:ascii="Times New Roman" w:hAnsi="Times New Roman" w:cs="Times New Roman"/>
          <w:sz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</w:rPr>
        <w:t xml:space="preserve"> (1) </w:t>
      </w:r>
      <w:proofErr w:type="spellStart"/>
      <w:r>
        <w:rPr>
          <w:rFonts w:ascii="Times New Roman" w:hAnsi="Times New Roman" w:cs="Times New Roman"/>
          <w:sz w:val="28"/>
        </w:rPr>
        <w:t>кожуунов</w:t>
      </w:r>
      <w:bookmarkEnd w:id="3"/>
      <w:proofErr w:type="spellEnd"/>
      <w:r>
        <w:rPr>
          <w:rFonts w:ascii="Times New Roman" w:hAnsi="Times New Roman" w:cs="Times New Roman"/>
          <w:sz w:val="28"/>
        </w:rPr>
        <w:t>.</w:t>
      </w:r>
    </w:p>
    <w:p w:rsidR="00E85B48" w:rsidRDefault="00E8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B48" w:rsidRDefault="0066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86325" cy="2619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85B48" w:rsidRDefault="00E8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B48" w:rsidRDefault="0066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ведения Регистра возникают также затруднения </w:t>
      </w:r>
      <w:r>
        <w:rPr>
          <w:rFonts w:ascii="Times New Roman" w:hAnsi="Times New Roman" w:cs="Times New Roman"/>
          <w:sz w:val="28"/>
          <w:szCs w:val="28"/>
        </w:rPr>
        <w:t>в соблюдении установленных сроков проведения юридической экспертизы муниципальных актов, в том числе органами исполнительной власти Республики Тыва, направлении отрицательных экспертных заключений в органы местного самоуправления для оперативного устранени</w:t>
      </w:r>
      <w:r>
        <w:rPr>
          <w:rFonts w:ascii="Times New Roman" w:hAnsi="Times New Roman" w:cs="Times New Roman"/>
          <w:sz w:val="28"/>
          <w:szCs w:val="28"/>
        </w:rPr>
        <w:t>я выявленных нарушений законодательства.</w:t>
      </w:r>
    </w:p>
    <w:p w:rsidR="00E85B48" w:rsidRDefault="0066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устранения возникающих проблемных вопросов в текущем году предлагается организовать усиленный контроль за направленными в органы исполнительной власти муниципальными актами путем использования СЭД «Практика»</w:t>
      </w:r>
      <w:r>
        <w:rPr>
          <w:rFonts w:ascii="Times New Roman" w:hAnsi="Times New Roman" w:cs="Times New Roman"/>
          <w:sz w:val="28"/>
          <w:szCs w:val="28"/>
        </w:rPr>
        <w:t xml:space="preserve"> с ежемесячной сверкой направленных актов и поступивших на них экспертных заключений.</w:t>
      </w:r>
    </w:p>
    <w:p w:rsidR="00E85B48" w:rsidRDefault="0066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также отметить следующие проблемные вопросы, касающиеся ведения Регистра муниципальных актов республики, которые также были отмечены и в 2022-2023 годах:</w:t>
      </w:r>
    </w:p>
    <w:p w:rsidR="00E85B48" w:rsidRDefault="00661B3C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Нарушени</w:t>
      </w:r>
      <w:r>
        <w:rPr>
          <w:rFonts w:ascii="Times New Roman" w:hAnsi="Times New Roman" w:cs="Times New Roman"/>
          <w:color w:val="000000"/>
          <w:sz w:val="28"/>
          <w:szCs w:val="28"/>
        </w:rPr>
        <w:t>я, выявленные при представлении муниципальных нормативных правовых актов и дополнительных сведений к ним для включения в Регистр муниципальных нормативных правовых актов.</w:t>
      </w:r>
    </w:p>
    <w:p w:rsidR="00E85B48" w:rsidRDefault="00661B3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 4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Тыва от 26.12.2012 № 1694 ВХ-1 «О регистре муниципальных нормативных правовых актов Республики Тыва»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ключению в Регистр подлежат действующие муниципальные нормативные правовые акты.</w:t>
      </w:r>
    </w:p>
    <w:p w:rsidR="00E85B48" w:rsidRDefault="00661B3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Однако в нарушение указанного требования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законодательства, органами местного самоуправления для включения в Регистр представляются муниципальные акты, не носящие нормативный характер, в частности, такие как:</w:t>
      </w:r>
    </w:p>
    <w:p w:rsidR="00E85B48" w:rsidRDefault="00661B3C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об утверждении отчета по исполнению местного бюджета;</w:t>
      </w:r>
    </w:p>
    <w:p w:rsidR="00E85B48" w:rsidRDefault="00661B3C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создании различных рабочих групп;</w:t>
      </w:r>
    </w:p>
    <w:p w:rsidR="00E85B48" w:rsidRDefault="00661B3C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присвоении адресов объектам недвижимости, земельным участкам;</w:t>
      </w:r>
    </w:p>
    <w:p w:rsidR="00E85B48" w:rsidRDefault="00661B3C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</w:rPr>
        <w:t>об отчетах рабочих групп, комиссий, должностных лиц и т.п.</w:t>
      </w:r>
    </w:p>
    <w:p w:rsidR="00E85B48" w:rsidRDefault="00661B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в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ошибочно представляются для включения в Регистр </w:t>
      </w:r>
      <w:r>
        <w:rPr>
          <w:rFonts w:ascii="Times New Roman" w:hAnsi="Times New Roman" w:cs="Times New Roman"/>
          <w:color w:val="000000"/>
          <w:sz w:val="28"/>
          <w:szCs w:val="28"/>
        </w:rPr>
        <w:t>акты о принятии Устава муницип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ального образования и о внесении изменений в Устав, подлежащие направлению в Управление Министерства юстиции РФ по РТ.</w:t>
      </w:r>
    </w:p>
    <w:p w:rsidR="00E85B48" w:rsidRDefault="00661B3C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сроков представления актов для включения в Регистр, установленных федеральным и республиканским законодательством.</w:t>
      </w:r>
    </w:p>
    <w:p w:rsidR="00E85B48" w:rsidRDefault="00661B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>ствии с постановлением Правительства Российской Федерации от 10.09.2008 № 657 «О ведении федерального регистра муниципальных нормативных правовых актов» актуализация регистров муниципальных нормативных правовых актов субъектов Российской Федерации должна о</w:t>
      </w:r>
      <w:r>
        <w:rPr>
          <w:rFonts w:ascii="Times New Roman" w:hAnsi="Times New Roman" w:cs="Times New Roman"/>
          <w:sz w:val="28"/>
          <w:szCs w:val="28"/>
        </w:rPr>
        <w:t>беспечивать пополнение федерального регистра муниципальных нормативных правовых актов не позднее 60 дней со дня принятия (издания) муниципальных нормативных правовых актов).</w:t>
      </w:r>
      <w:proofErr w:type="gramEnd"/>
    </w:p>
    <w:p w:rsidR="00E85B48" w:rsidRDefault="00661B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Республики Тыва «О регистре муниципальных нормативных правовых актов Респу</w:t>
      </w:r>
      <w:r>
        <w:rPr>
          <w:rFonts w:ascii="Times New Roman" w:hAnsi="Times New Roman" w:cs="Times New Roman"/>
          <w:sz w:val="28"/>
          <w:szCs w:val="28"/>
        </w:rPr>
        <w:t>блики Тыва» установлено, что муниципальный акт должен быть представлен не позднее 15 календарных дней со дня его принятия (издания).</w:t>
      </w:r>
    </w:p>
    <w:p w:rsidR="00E85B48" w:rsidRDefault="00661B3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Затрудняет работу по обеспечению актуальности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сведений об опубликов</w:t>
      </w:r>
      <w:r>
        <w:rPr>
          <w:rFonts w:ascii="Times New Roman" w:hAnsi="Times New Roman" w:cs="Times New Roman"/>
          <w:sz w:val="28"/>
          <w:szCs w:val="28"/>
        </w:rPr>
        <w:t>ании (обнародовании) нормативных правовых актов.</w:t>
      </w:r>
    </w:p>
    <w:p w:rsidR="00E85B48" w:rsidRDefault="00661B3C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Существенное количество муниципальных актов, содержащихся в Регистре, не соответствующих законодательству.</w:t>
      </w:r>
    </w:p>
    <w:p w:rsidR="00E85B48" w:rsidRDefault="00661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соответствия муниципальных нормативных правовых актов федеральному законодательс</w:t>
      </w:r>
      <w:r>
        <w:rPr>
          <w:rFonts w:ascii="Times New Roman" w:hAnsi="Times New Roman" w:cs="Times New Roman"/>
          <w:sz w:val="28"/>
          <w:szCs w:val="28"/>
        </w:rPr>
        <w:t>тву, законодательству Республики Тыва, повышения уровня качества и эффективности муниципального правового регулирования органам местного самоуправления муниципальных образований Республики Тыва рекомендуется:</w:t>
      </w:r>
    </w:p>
    <w:p w:rsidR="00E85B48" w:rsidRDefault="00661B3C">
      <w:pPr>
        <w:pStyle w:val="ad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требованиям статьи 5 Закона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Тыва от 26.12.2012 № 1694 ВХ-1 «О регистре муниципальных нормативных правовых актов Республики Тыва» обеспечить достоверное и своевременное представление сведений, подлежащих включению в Регистр муниципальных нормативных правовых актов Республики Тыва;</w:t>
      </w:r>
    </w:p>
    <w:p w:rsidR="00E85B48" w:rsidRDefault="00661B3C">
      <w:pPr>
        <w:pStyle w:val="ad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одолжить работу по приведению в соответствие с действующим законодательством муниципальных нормативных правовых актов, в отношении которых получена информация о наличии в них норм, не соответствующих действующему законодательству (по актам прокурорского ре</w:t>
      </w:r>
      <w:r>
        <w:rPr>
          <w:rFonts w:ascii="Times New Roman" w:hAnsi="Times New Roman" w:cs="Times New Roman"/>
          <w:sz w:val="28"/>
          <w:szCs w:val="28"/>
        </w:rPr>
        <w:t>агирования, экспертным заключениям Министерства и иных органов исполнительной власти Республики Тыва).</w:t>
      </w:r>
    </w:p>
    <w:p w:rsidR="00E85B48" w:rsidRDefault="00E85B48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5B48">
      <w:footerReference w:type="default" r:id="rId13"/>
      <w:pgSz w:w="11900" w:h="16840"/>
      <w:pgMar w:top="1134" w:right="567" w:bottom="1134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B3C" w:rsidRDefault="00661B3C">
      <w:pPr>
        <w:spacing w:line="240" w:lineRule="auto"/>
      </w:pPr>
      <w:r>
        <w:separator/>
      </w:r>
    </w:p>
  </w:endnote>
  <w:endnote w:type="continuationSeparator" w:id="0">
    <w:p w:rsidR="00661B3C" w:rsidRDefault="00661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681591514"/>
    </w:sdtPr>
    <w:sdtEndPr/>
    <w:sdtContent>
      <w:p w:rsidR="00E85B48" w:rsidRDefault="00661B3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1359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5B48" w:rsidRDefault="00E85B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B3C" w:rsidRDefault="00661B3C">
      <w:pPr>
        <w:spacing w:after="0"/>
      </w:pPr>
      <w:r>
        <w:separator/>
      </w:r>
    </w:p>
  </w:footnote>
  <w:footnote w:type="continuationSeparator" w:id="0">
    <w:p w:rsidR="00661B3C" w:rsidRDefault="00661B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129C"/>
    <w:multiLevelType w:val="multilevel"/>
    <w:tmpl w:val="1984129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4A4895"/>
    <w:multiLevelType w:val="multilevel"/>
    <w:tmpl w:val="254A4895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861110E"/>
    <w:multiLevelType w:val="multilevel"/>
    <w:tmpl w:val="3861110E"/>
    <w:lvl w:ilvl="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03" w:hanging="13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3">
    <w:nsid w:val="75F17DB6"/>
    <w:multiLevelType w:val="multilevel"/>
    <w:tmpl w:val="75F17DB6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19"/>
    <w:rsid w:val="000031F8"/>
    <w:rsid w:val="00003E7A"/>
    <w:rsid w:val="00006ABD"/>
    <w:rsid w:val="00021A6E"/>
    <w:rsid w:val="00034BE1"/>
    <w:rsid w:val="00037086"/>
    <w:rsid w:val="00051D74"/>
    <w:rsid w:val="00061A2F"/>
    <w:rsid w:val="0008212A"/>
    <w:rsid w:val="00090CE8"/>
    <w:rsid w:val="000B57F6"/>
    <w:rsid w:val="000E51B1"/>
    <w:rsid w:val="000F2272"/>
    <w:rsid w:val="00116921"/>
    <w:rsid w:val="00122180"/>
    <w:rsid w:val="001401B3"/>
    <w:rsid w:val="001470A7"/>
    <w:rsid w:val="001557C1"/>
    <w:rsid w:val="00170B0F"/>
    <w:rsid w:val="001749E8"/>
    <w:rsid w:val="00185A27"/>
    <w:rsid w:val="001903B4"/>
    <w:rsid w:val="00191DB2"/>
    <w:rsid w:val="00196535"/>
    <w:rsid w:val="001A3149"/>
    <w:rsid w:val="001A5061"/>
    <w:rsid w:val="001B06A9"/>
    <w:rsid w:val="001B4D2E"/>
    <w:rsid w:val="001C1359"/>
    <w:rsid w:val="001E0357"/>
    <w:rsid w:val="001F108C"/>
    <w:rsid w:val="00243A87"/>
    <w:rsid w:val="0024493A"/>
    <w:rsid w:val="00252CC0"/>
    <w:rsid w:val="0029679E"/>
    <w:rsid w:val="002D5163"/>
    <w:rsid w:val="002E2702"/>
    <w:rsid w:val="002E2FC0"/>
    <w:rsid w:val="002F6AC6"/>
    <w:rsid w:val="00301315"/>
    <w:rsid w:val="00312837"/>
    <w:rsid w:val="003279C4"/>
    <w:rsid w:val="00341519"/>
    <w:rsid w:val="00342F9B"/>
    <w:rsid w:val="003871F1"/>
    <w:rsid w:val="003B7F39"/>
    <w:rsid w:val="003C74D4"/>
    <w:rsid w:val="003D4DC5"/>
    <w:rsid w:val="003F252E"/>
    <w:rsid w:val="00471320"/>
    <w:rsid w:val="004A3A1A"/>
    <w:rsid w:val="004B5F11"/>
    <w:rsid w:val="004E3134"/>
    <w:rsid w:val="00512DF8"/>
    <w:rsid w:val="005148AA"/>
    <w:rsid w:val="00530847"/>
    <w:rsid w:val="005508FD"/>
    <w:rsid w:val="005617FE"/>
    <w:rsid w:val="00595772"/>
    <w:rsid w:val="005F6E96"/>
    <w:rsid w:val="00606733"/>
    <w:rsid w:val="00611571"/>
    <w:rsid w:val="006150C9"/>
    <w:rsid w:val="00631FD2"/>
    <w:rsid w:val="0064370D"/>
    <w:rsid w:val="00661B3C"/>
    <w:rsid w:val="00672354"/>
    <w:rsid w:val="00672C28"/>
    <w:rsid w:val="00684570"/>
    <w:rsid w:val="0068508A"/>
    <w:rsid w:val="00687898"/>
    <w:rsid w:val="0069464A"/>
    <w:rsid w:val="006A365D"/>
    <w:rsid w:val="006D4D29"/>
    <w:rsid w:val="00735D05"/>
    <w:rsid w:val="00737C9F"/>
    <w:rsid w:val="00755057"/>
    <w:rsid w:val="00761CA4"/>
    <w:rsid w:val="0079773E"/>
    <w:rsid w:val="007A7174"/>
    <w:rsid w:val="007E6311"/>
    <w:rsid w:val="007F1ADF"/>
    <w:rsid w:val="008411B6"/>
    <w:rsid w:val="00846797"/>
    <w:rsid w:val="008509C9"/>
    <w:rsid w:val="00855AB5"/>
    <w:rsid w:val="00872856"/>
    <w:rsid w:val="00884E2A"/>
    <w:rsid w:val="00885F95"/>
    <w:rsid w:val="008E4A5F"/>
    <w:rsid w:val="009008FB"/>
    <w:rsid w:val="00910336"/>
    <w:rsid w:val="0091235B"/>
    <w:rsid w:val="0091508D"/>
    <w:rsid w:val="00926648"/>
    <w:rsid w:val="00930B36"/>
    <w:rsid w:val="00946360"/>
    <w:rsid w:val="00961DA5"/>
    <w:rsid w:val="0097184E"/>
    <w:rsid w:val="00972615"/>
    <w:rsid w:val="009A07E8"/>
    <w:rsid w:val="009C30C6"/>
    <w:rsid w:val="009D160A"/>
    <w:rsid w:val="009E20E5"/>
    <w:rsid w:val="00A11E35"/>
    <w:rsid w:val="00A14D90"/>
    <w:rsid w:val="00A1551A"/>
    <w:rsid w:val="00A339C5"/>
    <w:rsid w:val="00A407F2"/>
    <w:rsid w:val="00A44735"/>
    <w:rsid w:val="00A53BBF"/>
    <w:rsid w:val="00A761D9"/>
    <w:rsid w:val="00A80020"/>
    <w:rsid w:val="00A82137"/>
    <w:rsid w:val="00A831C2"/>
    <w:rsid w:val="00A93E55"/>
    <w:rsid w:val="00AA7AF8"/>
    <w:rsid w:val="00AB2583"/>
    <w:rsid w:val="00AD58DF"/>
    <w:rsid w:val="00B03909"/>
    <w:rsid w:val="00B5333E"/>
    <w:rsid w:val="00B9260B"/>
    <w:rsid w:val="00B92DD7"/>
    <w:rsid w:val="00B96B17"/>
    <w:rsid w:val="00B975AB"/>
    <w:rsid w:val="00BA2D8D"/>
    <w:rsid w:val="00BB7BB5"/>
    <w:rsid w:val="00BD2B34"/>
    <w:rsid w:val="00BD3561"/>
    <w:rsid w:val="00C17571"/>
    <w:rsid w:val="00C7159D"/>
    <w:rsid w:val="00C736D6"/>
    <w:rsid w:val="00C8316B"/>
    <w:rsid w:val="00CA4387"/>
    <w:rsid w:val="00CA4F6F"/>
    <w:rsid w:val="00CB56FE"/>
    <w:rsid w:val="00D04143"/>
    <w:rsid w:val="00D10554"/>
    <w:rsid w:val="00D1407E"/>
    <w:rsid w:val="00D16CA0"/>
    <w:rsid w:val="00D17A60"/>
    <w:rsid w:val="00D23003"/>
    <w:rsid w:val="00D434A5"/>
    <w:rsid w:val="00D62CA4"/>
    <w:rsid w:val="00D67D50"/>
    <w:rsid w:val="00D81955"/>
    <w:rsid w:val="00D83582"/>
    <w:rsid w:val="00DA64EF"/>
    <w:rsid w:val="00DB05FB"/>
    <w:rsid w:val="00E06BD0"/>
    <w:rsid w:val="00E14DF7"/>
    <w:rsid w:val="00E25202"/>
    <w:rsid w:val="00E33B62"/>
    <w:rsid w:val="00E37995"/>
    <w:rsid w:val="00E43341"/>
    <w:rsid w:val="00E44138"/>
    <w:rsid w:val="00E7353D"/>
    <w:rsid w:val="00E85B48"/>
    <w:rsid w:val="00E92747"/>
    <w:rsid w:val="00E97A94"/>
    <w:rsid w:val="00EA12B4"/>
    <w:rsid w:val="00EB2824"/>
    <w:rsid w:val="00EC3D9E"/>
    <w:rsid w:val="00EC5CA6"/>
    <w:rsid w:val="00EC63E7"/>
    <w:rsid w:val="00EC7543"/>
    <w:rsid w:val="00EF03C2"/>
    <w:rsid w:val="00EF6C8A"/>
    <w:rsid w:val="00EF7CD0"/>
    <w:rsid w:val="00F011D5"/>
    <w:rsid w:val="00F21805"/>
    <w:rsid w:val="00F34263"/>
    <w:rsid w:val="00F52999"/>
    <w:rsid w:val="00F532F8"/>
    <w:rsid w:val="00F86BF4"/>
    <w:rsid w:val="00F96377"/>
    <w:rsid w:val="00FA7983"/>
    <w:rsid w:val="00FB7962"/>
    <w:rsid w:val="00FC14A2"/>
    <w:rsid w:val="00FC78D0"/>
    <w:rsid w:val="00FD2C4A"/>
    <w:rsid w:val="00FD7FCB"/>
    <w:rsid w:val="00FE708D"/>
    <w:rsid w:val="00FF2470"/>
    <w:rsid w:val="0A92556A"/>
    <w:rsid w:val="2CBD0FD7"/>
    <w:rsid w:val="4F39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e">
    <w:name w:val="Абзац списка Знак"/>
    <w:basedOn w:val="a0"/>
    <w:link w:val="ad"/>
    <w:uiPriority w:val="34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customStyle="1" w:styleId="p1">
    <w:name w:val="p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e">
    <w:name w:val="Абзац списка Знак"/>
    <w:basedOn w:val="a0"/>
    <w:link w:val="ad"/>
    <w:uiPriority w:val="34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customStyle="1" w:styleId="p1">
    <w:name w:val="p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2">
                    <a:lumMod val="60000"/>
                    <a:lumOff val="40000"/>
                  </a:schemeClr>
                </a:solidFill>
                <a:latin typeface="Times New Roman" panose="02020603050405020304" charset="0"/>
                <a:cs typeface="Times New Roman" panose="02020603050405020304" charset="0"/>
              </a:rPr>
              <a:t>Количество содержащихся в Регистре МНПА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12339</c:v>
                </c:pt>
                <c:pt idx="1">
                  <c:v>13852</c:v>
                </c:pt>
                <c:pt idx="2">
                  <c:v>15350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101440"/>
        <c:axId val="188327616"/>
      </c:barChart>
      <c:catAx>
        <c:axId val="135101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200" b="0" i="0" u="none" strike="noStrike" kern="1200" baseline="0">
                <a:solidFill>
                  <a:schemeClr val="tx1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188327616"/>
        <c:crosses val="autoZero"/>
        <c:auto val="1"/>
        <c:lblAlgn val="ctr"/>
        <c:lblOffset val="100"/>
        <c:noMultiLvlLbl val="0"/>
      </c:catAx>
      <c:valAx>
        <c:axId val="188327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101440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ed2c0b07-546c-4d95-9bad-4411c74aaaa2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поступило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1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2990</c:v>
                </c:pt>
                <c:pt idx="1">
                  <c:v>4692</c:v>
                </c:pt>
                <c:pt idx="2">
                  <c:v>3389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Возврашены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444444444444198E-3"/>
                  <c:y val="-3.968253968253969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57407407407400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574074074074001E-2"/>
                  <c:y val="-7.93650793650793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1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2056</c:v>
                </c:pt>
                <c:pt idx="1">
                  <c:v>2760</c:v>
                </c:pt>
                <c:pt idx="2">
                  <c:v>1947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Включены в Регистр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3888888888888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8888888888889E-2"/>
                  <c:y val="7.275048233154279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1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992</c:v>
                </c:pt>
                <c:pt idx="1">
                  <c:v>1575</c:v>
                </c:pt>
                <c:pt idx="2">
                  <c:v>1498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497728"/>
        <c:axId val="188329344"/>
      </c:barChart>
      <c:catAx>
        <c:axId val="167497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200" b="1" i="0" u="none" strike="noStrike" kern="1200" baseline="0">
                <a:solidFill>
                  <a:schemeClr val="tx1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188329344"/>
        <c:crosses val="autoZero"/>
        <c:auto val="1"/>
        <c:lblAlgn val="ctr"/>
        <c:lblOffset val="100"/>
        <c:noMultiLvlLbl val="0"/>
      </c:catAx>
      <c:valAx>
        <c:axId val="188329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497728"/>
        <c:crosses val="autoZero"/>
        <c:crossBetween val="between"/>
      </c:valAx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ed3370a-3d8a-40fd-9249-c5ac924ce739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620604856825295E-2"/>
          <c:y val="4.4057617797775298E-2"/>
          <c:w val="0.74091811496535898"/>
          <c:h val="0.81234408198975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ЭЗ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41441441441440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414414414414401E-2"/>
                  <c:y val="-1.5873015873015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921921921921920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884</c:v>
                </c:pt>
                <c:pt idx="1">
                  <c:v>952</c:v>
                </c:pt>
                <c:pt idx="2">
                  <c:v>1110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Отрицательные ЭЗ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77777777777780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777777777777801E-2"/>
                  <c:y val="7.275048233154279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14814814814809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71</c:v>
                </c:pt>
                <c:pt idx="1">
                  <c:v>83</c:v>
                </c:pt>
                <c:pt idx="2">
                  <c:v>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500800"/>
        <c:axId val="188331072"/>
      </c:barChart>
      <c:catAx>
        <c:axId val="167500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200" b="1" i="0" u="none" strike="noStrike" kern="1200" baseline="0">
                <a:solidFill>
                  <a:sysClr val="windowText" lastClr="000000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188331072"/>
        <c:crosses val="autoZero"/>
        <c:auto val="1"/>
        <c:lblAlgn val="ctr"/>
        <c:lblOffset val="100"/>
        <c:noMultiLvlLbl val="0"/>
      </c:catAx>
      <c:valAx>
        <c:axId val="188331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50080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477988224444905"/>
          <c:y val="0.24882670916135499"/>
          <c:w val="0.21133120522096899"/>
          <c:h val="0.53409261342332204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1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9ebfa9c-869a-487d-a0e9-67bd580717ee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2">
                    <a:lumMod val="60000"/>
                    <a:lumOff val="40000"/>
                  </a:schemeClr>
                </a:solidFill>
                <a:latin typeface="Times New Roman" panose="02020603050405020304" charset="0"/>
                <a:cs typeface="Times New Roman" panose="02020603050405020304" charset="0"/>
              </a:rPr>
              <a:t>Количество действующих МНПА </a:t>
            </a:r>
          </a:p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2">
                    <a:lumMod val="60000"/>
                    <a:lumOff val="40000"/>
                  </a:schemeClr>
                </a:solidFill>
                <a:latin typeface="Times New Roman" panose="02020603050405020304" charset="0"/>
                <a:cs typeface="Times New Roman" panose="02020603050405020304" charset="0"/>
              </a:rPr>
              <a:t>не соответствующих законодательству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3462561971420199E-2"/>
          <c:y val="0.24405761779777499"/>
          <c:w val="0.68990667833187502"/>
          <c:h val="0.597602487189101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 2009 года по отчетную дату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2553</c:v>
                </c:pt>
                <c:pt idx="1">
                  <c:v>930</c:v>
                </c:pt>
                <c:pt idx="2">
                  <c:v>569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отчетный период</c:v>
                </c:pt>
              </c:strCache>
            </c:strRef>
          </c:tx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39</c:v>
                </c:pt>
                <c:pt idx="1">
                  <c:v>152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101952"/>
        <c:axId val="188333376"/>
      </c:barChart>
      <c:catAx>
        <c:axId val="135101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200" b="1" i="0" u="none" strike="noStrike" kern="1200" baseline="0">
                <a:solidFill>
                  <a:sysClr val="windowText" lastClr="000000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188333376"/>
        <c:crosses val="autoZero"/>
        <c:auto val="1"/>
        <c:lblAlgn val="ctr"/>
        <c:lblOffset val="100"/>
        <c:noMultiLvlLbl val="0"/>
      </c:catAx>
      <c:valAx>
        <c:axId val="188333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101952"/>
        <c:crosses val="autoZero"/>
        <c:crossBetween val="between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6642479585885104"/>
          <c:y val="0.52824240719909998"/>
          <c:w val="0.21968631525226001"/>
          <c:h val="0.31811836020497403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b053bbf-6bba-460f-a7a1-7c69d671e572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2">
                    <a:lumMod val="60000"/>
                    <a:lumOff val="40000"/>
                  </a:schemeClr>
                </a:solidFill>
                <a:latin typeface="Times New Roman" panose="02020603050405020304" charset="0"/>
                <a:cs typeface="Times New Roman" panose="02020603050405020304" charset="0"/>
              </a:rPr>
              <a:t>Количество проступивших актов прокурорского реагирования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2602123188209697E-2"/>
          <c:y val="0.30944663992472599"/>
          <c:w val="0.88642924821119395"/>
          <c:h val="0.539207448125587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0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320960"/>
        <c:axId val="166240832"/>
      </c:barChart>
      <c:catAx>
        <c:axId val="65320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200" b="0" i="0" u="none" strike="noStrike" kern="1200" baseline="0">
                <a:solidFill>
                  <a:schemeClr val="tx1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166240832"/>
        <c:crosses val="autoZero"/>
        <c:auto val="1"/>
        <c:lblAlgn val="ctr"/>
        <c:lblOffset val="100"/>
        <c:noMultiLvlLbl val="0"/>
      </c:catAx>
      <c:valAx>
        <c:axId val="166240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320960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0c1e8fec-f3a3-4c3b-b31e-e60a0f61e8e7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SakakAA</dc:creator>
  <cp:lastModifiedBy>Куулар Эртине-Мерген Мергенович</cp:lastModifiedBy>
  <cp:revision>2</cp:revision>
  <cp:lastPrinted>2025-02-06T02:41:00Z</cp:lastPrinted>
  <dcterms:created xsi:type="dcterms:W3CDTF">2025-12-05T03:29:00Z</dcterms:created>
  <dcterms:modified xsi:type="dcterms:W3CDTF">2025-12-05T03:29:00Z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157792ED5B264F17B2FBE718995AF3C8_12</vt:lpwstr>
  </property>
</Properties>
</file>